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ind w:left="0" w:firstLine="0"/>
        <w:jc w:val="center"/>
        <w:spacing w:line="360" w:lineRule="auto"/>
        <w:tabs>
          <w:tab w:val="left" w:pos="6500" w:leader="none"/>
        </w:tabs>
        <w:rPr>
          <w:rFonts w:hint="default" w:ascii="宋体" w:hAnsi="宋体" w:eastAsia="宋体" w:cs="宋体"/>
          <w:b/>
          <w:color w:val="auto"/>
          <w:sz w:val="52"/>
          <w:szCs w:val="48"/>
          <w:highlight w:val="none"/>
        </w:rPr>
      </w:pPr>
      <w:r/>
      <w:bookmarkStart w:id="0" w:name="_Hlk104983306"/>
      <w:r/>
      <w:bookmarkEnd w:id="0"/>
      <w:r/>
      <w:r/>
    </w:p>
    <w:p>
      <w:pPr>
        <w:pStyle w:val="995"/>
        <w:ind w:left="0" w:firstLine="0"/>
        <w:jc w:val="center"/>
        <w:spacing w:line="240" w:lineRule="auto"/>
        <w:tabs>
          <w:tab w:val="left" w:pos="6760" w:leader="none"/>
        </w:tabs>
        <w:rPr>
          <w:rFonts w:hint="default" w:ascii="宋体" w:hAnsi="宋体" w:eastAsia="宋体" w:cs="宋体"/>
          <w:b/>
          <w:color w:val="auto"/>
          <w:spacing w:val="20"/>
          <w:sz w:val="36"/>
          <w:szCs w:val="36"/>
          <w:highlight w:val="none"/>
        </w:rPr>
      </w:pPr>
      <w:r>
        <w:rPr>
          <w:rFonts w:ascii="宋体" w:hAnsi="宋体" w:eastAsia="宋体" w:cs="宋体"/>
          <w:b/>
          <w:color w:val="auto"/>
          <w:spacing w:val="20"/>
          <w:sz w:val="42"/>
          <w:szCs w:val="42"/>
          <w:highlight w:val="none"/>
        </w:rPr>
        <w:t xml:space="preserve">原南通新广生化工地块风险管控工程服务项目</w:t>
      </w:r>
      <w:r/>
    </w:p>
    <w:p>
      <w:pPr>
        <w:pStyle w:val="995"/>
        <w:ind w:left="0" w:firstLine="520"/>
        <w:spacing w:line="240" w:lineRule="auto"/>
        <w:rPr>
          <w:rFonts w:hint="default" w:ascii="宋体" w:hAnsi="宋体" w:eastAsia="宋体" w:cs="宋体"/>
          <w:color w:val="auto"/>
          <w:highlight w:val="none"/>
        </w:rPr>
      </w:pPr>
      <w:r>
        <w:rPr>
          <w:rFonts w:hint="default" w:ascii="宋体" w:hAnsi="宋体" w:eastAsia="宋体" w:cs="宋体"/>
          <w:color w:val="auto"/>
          <w:highlight w:val="none"/>
        </w:rPr>
      </w:r>
      <w:r/>
    </w:p>
    <w:p>
      <w:pPr>
        <w:pStyle w:val="995"/>
        <w:ind w:left="0" w:firstLine="520"/>
        <w:spacing w:line="240" w:lineRule="auto"/>
        <w:rPr>
          <w:rFonts w:hint="default" w:ascii="宋体" w:hAnsi="宋体" w:eastAsia="宋体" w:cs="宋体"/>
          <w:b/>
          <w:color w:val="auto"/>
          <w:sz w:val="100"/>
          <w:szCs w:val="100"/>
          <w:highlight w:val="none"/>
        </w:rPr>
      </w:pPr>
      <w:r>
        <w:rPr>
          <w:rFonts w:hint="default" w:ascii="宋体" w:hAnsi="宋体" w:eastAsia="宋体" w:cs="宋体"/>
          <w:b/>
          <w:color w:val="auto"/>
          <w:sz w:val="100"/>
          <w:szCs w:val="100"/>
          <w:highlight w:val="none"/>
        </w:rPr>
      </w:r>
      <w:r/>
    </w:p>
    <w:p>
      <w:pPr>
        <w:pStyle w:val="995"/>
        <w:spacing w:line="240" w:lineRule="auto"/>
        <w:rPr>
          <w:rFonts w:hint="default" w:ascii="宋体" w:hAnsi="宋体" w:eastAsia="宋体" w:cs="宋体"/>
          <w:b/>
          <w:color w:val="auto"/>
          <w:sz w:val="100"/>
          <w:szCs w:val="100"/>
          <w:highlight w:val="none"/>
        </w:rPr>
      </w:pPr>
      <w:r>
        <w:rPr>
          <w:rFonts w:ascii="宋体" w:hAnsi="宋体" w:eastAsia="宋体" w:cs="宋体"/>
          <w:b/>
          <w:color w:val="auto"/>
          <w:sz w:val="90"/>
          <w:szCs w:val="90"/>
          <w:highlight w:val="none"/>
        </w:rPr>
        <w:t xml:space="preserve">政府采购招标文件</w:t>
      </w:r>
      <w:r/>
    </w:p>
    <w:p>
      <w:pPr>
        <w:pStyle w:val="995"/>
        <w:ind w:left="0" w:firstLine="0"/>
        <w:jc w:val="center"/>
        <w:spacing w:line="240" w:lineRule="auto"/>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pStyle w:val="995"/>
        <w:ind w:left="0" w:firstLine="0"/>
        <w:jc w:val="center"/>
        <w:spacing w:line="240" w:lineRule="auto"/>
        <w:rPr>
          <w:rFonts w:hint="default" w:ascii="宋体" w:hAnsi="宋体" w:eastAsia="宋体" w:cs="宋体"/>
          <w:b/>
          <w:color w:val="auto"/>
          <w:sz w:val="36"/>
          <w:szCs w:val="36"/>
          <w:highlight w:val="none"/>
        </w:rPr>
      </w:pPr>
      <w:r>
        <w:rPr>
          <w:rFonts w:ascii="宋体" w:hAnsi="宋体" w:eastAsia="宋体" w:cs="宋体"/>
          <w:b/>
          <w:color w:val="auto"/>
          <w:sz w:val="36"/>
          <w:szCs w:val="36"/>
          <w:highlight w:val="none"/>
        </w:rPr>
        <w:t xml:space="preserve">项目编号：JSZC-320613-YCZJ-G2026-0018</w:t>
      </w:r>
      <w:r/>
    </w:p>
    <w:p>
      <w:pPr>
        <w:pStyle w:val="995"/>
        <w:ind w:left="0" w:firstLine="0"/>
        <w:jc w:val="center"/>
        <w:spacing w:line="240" w:lineRule="auto"/>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pStyle w:val="995"/>
        <w:ind w:left="0" w:firstLine="0"/>
        <w:spacing w:line="240" w:lineRule="auto"/>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pStyle w:val="995"/>
        <w:ind w:left="0" w:firstLine="0"/>
        <w:spacing w:line="240" w:lineRule="auto"/>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spacing w:line="360" w:lineRule="auto"/>
        <w:rPr>
          <w:rFonts w:ascii="宋体" w:hAnsi="宋体" w:eastAsia="宋体" w:cs="宋体"/>
          <w:b/>
          <w:color w:val="auto"/>
          <w:sz w:val="36"/>
          <w:highlight w:val="none"/>
        </w:rPr>
      </w:pPr>
      <w:r>
        <w:rPr>
          <w:rFonts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1724660</wp:posOffset>
                </wp:positionH>
                <wp:positionV relativeFrom="paragraph">
                  <wp:posOffset>59690</wp:posOffset>
                </wp:positionV>
                <wp:extent cx="2334260" cy="1789430"/>
                <wp:effectExtent l="0" t="0" r="12700" b="8890"/>
                <wp:wrapTopAndBottom/>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20"/>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5.8pt;mso-position-horizontal:absolute;mso-position-vertical-relative:text;margin-top:4.7pt;mso-position-vertical:absolute;width:183.8pt;height:140.9pt;mso-wrap-distance-left:9.0pt;mso-wrap-distance-top:0.0pt;mso-wrap-distance-right:9.0pt;mso-wrap-distance-bottom:0.0pt;" stroked="f">
                <v:path textboxrect="0,0,0,0"/>
                <w10:wrap type="topAndBottom"/>
                <v:imagedata r:id="rId20" o:title=""/>
              </v:shape>
            </w:pict>
          </mc:Fallback>
        </mc:AlternateContent>
      </w:r>
      <w:r/>
    </w:p>
    <w:p>
      <w:pPr>
        <w:pStyle w:val="946"/>
        <w:jc w:val="center"/>
        <w:spacing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46"/>
        <w:jc w:val="center"/>
        <w:spacing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招标人：江苏省南通港闸经济开发区管理委员会</w:t>
      </w:r>
      <w:r/>
    </w:p>
    <w:p>
      <w:pPr>
        <w:ind w:firstLine="1606"/>
        <w:spacing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代理机构：江苏永诚工程造价事务所有限公司</w:t>
      </w:r>
      <w:r/>
    </w:p>
    <w:p>
      <w:pPr>
        <w:jc w:val="center"/>
        <w:spacing w:line="360" w:lineRule="auto"/>
        <w:rPr>
          <w:rFonts w:ascii="宋体" w:hAnsi="宋体" w:eastAsia="宋体" w:cs="宋体"/>
          <w:b/>
          <w:color w:val="auto"/>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5" w:h="16838" w:orient="portrait"/>
          <w:pgMar w:top="1440" w:right="1519" w:bottom="1440" w:left="1519" w:header="850" w:footer="992" w:gutter="0"/>
          <w:pgNumType w:start="1"/>
          <w:cols w:num="1" w:sep="0" w:space="1701" w:equalWidth="1"/>
          <w:docGrid w:linePitch="360"/>
        </w:sectPr>
      </w:pPr>
      <w:r>
        <w:rPr>
          <w:rFonts w:hint="eastAsia" w:ascii="宋体" w:hAnsi="宋体" w:eastAsia="宋体" w:cs="宋体"/>
          <w:b/>
          <w:color w:val="auto"/>
          <w:sz w:val="32"/>
          <w:szCs w:val="32"/>
          <w:highlight w:val="none"/>
        </w:rPr>
        <w:t xml:space="preserve">二○二六年七月</w:t>
      </w:r>
      <w:r/>
    </w:p>
    <w:p>
      <w:pPr>
        <w:pStyle w:val="917"/>
        <w:ind w:firstLine="3755"/>
        <w:spacing w:line="360" w:lineRule="auto"/>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 TOC \o "1-1"</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color w:val="auto"/>
          <w:sz w:val="32"/>
          <w:szCs w:val="32"/>
          <w:highlight w:val="none"/>
        </w:rPr>
        <w:t xml:space="preserve">第一章 招标公告</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投标人须知</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项目需求</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评审方法和程序</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合同主要条款</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合同授予</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第七章 质疑与投诉</w:t>
      </w:r>
      <w:r/>
    </w:p>
    <w:p>
      <w:pPr>
        <w:pStyle w:val="971"/>
        <w:ind w:firstLine="640"/>
        <w:spacing w:line="360" w:lineRule="auto"/>
        <w:tabs>
          <w:tab w:val="right" w:pos="9528"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第八章 投标文件组成及格式</w:t>
      </w:r>
      <w:r/>
    </w:p>
    <w:p>
      <w:pPr>
        <w:spacing w:line="360" w:lineRule="auto"/>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917"/>
        <w:ind w:firstLine="0"/>
        <w:spacing w:line="360" w:lineRule="auto"/>
        <w:rPr>
          <w:rFonts w:ascii="宋体" w:hAnsi="宋体" w:eastAsia="宋体" w:cs="宋体"/>
          <w:color w:val="auto"/>
          <w:highlight w:val="none"/>
        </w:rPr>
      </w:pPr>
      <w:r>
        <w:rPr>
          <w:rFonts w:hint="eastAsia" w:ascii="宋体" w:hAnsi="宋体" w:eastAsia="宋体" w:cs="宋体"/>
          <w:b/>
          <w:bCs/>
          <w:color w:val="auto"/>
          <w:sz w:val="36"/>
          <w:szCs w:val="36"/>
          <w:highlight w:val="none"/>
        </w:rPr>
        <w:fldChar w:fldCharType="end"/>
      </w:r>
      <w:r/>
    </w:p>
    <w:p>
      <w:pPr>
        <w:jc w:val="center"/>
        <w:spacing w:line="360" w:lineRule="auto"/>
        <w:tabs>
          <w:tab w:val="left" w:pos="1050" w:leader="none"/>
          <w:tab w:val="right" w:pos="9402" w:leader="dot"/>
        </w:tabs>
        <w:rPr>
          <w:rFonts w:ascii="宋体" w:hAnsi="宋体" w:eastAsia="宋体" w:cs="宋体"/>
          <w:b/>
          <w:color w:val="auto"/>
          <w:sz w:val="36"/>
          <w:szCs w:val="36"/>
          <w:highlight w:val="none"/>
        </w:rPr>
        <w:outlineLvl w:val="0"/>
      </w:pPr>
      <w:r/>
      <w:bookmarkStart w:id="1" w:name="_Toc363573853"/>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第一章 招标公告</w:t>
      </w:r>
      <w:bookmarkEnd w:id="1"/>
      <w:r/>
      <w:r/>
    </w:p>
    <w:p>
      <w:pPr>
        <w:ind w:firstLine="480"/>
        <w:spacing w:line="360" w:lineRule="auto"/>
        <w:rPr>
          <w:rFonts w:ascii="宋体" w:hAnsi="宋体"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rPr>
        <w:t xml:space="preserve">项目概况</w:t>
      </w:r>
      <w:r/>
    </w:p>
    <w:p>
      <w:pPr>
        <w:ind w:firstLine="480"/>
        <w:spacing w:line="360" w:lineRule="auto"/>
        <w:rPr>
          <w:rFonts w:ascii="宋体" w:hAnsi="宋体"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u w:val="single"/>
        </w:rPr>
        <w:t xml:space="preserve">原南通新广生化工地块风险管控工程服务项目</w:t>
      </w:r>
      <w:r>
        <w:rPr>
          <w:rFonts w:hint="eastAsia" w:ascii="宋体" w:hAnsi="宋体" w:eastAsia="宋体" w:cs="宋体"/>
          <w:bCs/>
          <w:color w:val="auto"/>
          <w:sz w:val="24"/>
          <w:szCs w:val="24"/>
          <w:highlight w:val="none"/>
        </w:rPr>
        <w:t xml:space="preserve">的潜在投标人应在</w:t>
      </w:r>
      <w:r>
        <w:rPr>
          <w:rFonts w:hint="eastAsia" w:ascii="宋体" w:hAnsi="宋体" w:eastAsia="宋体" w:cs="宋体"/>
          <w:bCs/>
          <w:color w:val="auto"/>
          <w:sz w:val="24"/>
          <w:szCs w:val="24"/>
          <w:highlight w:val="none"/>
          <w:u w:val="single"/>
        </w:rPr>
        <w:t xml:space="preserve">苏采云系统内</w:t>
      </w:r>
      <w:r>
        <w:rPr>
          <w:rFonts w:hint="eastAsia" w:ascii="宋体" w:hAnsi="宋体" w:eastAsia="宋体" w:cs="宋体"/>
          <w:bCs/>
          <w:color w:val="auto"/>
          <w:sz w:val="24"/>
          <w:szCs w:val="24"/>
          <w:highlight w:val="none"/>
        </w:rPr>
        <w:t xml:space="preserve">获取招标文件，并于</w:t>
      </w:r>
      <w:r>
        <w:rPr>
          <w:rFonts w:hint="eastAsia" w:ascii="宋体" w:hAnsi="宋体" w:eastAsia="宋体" w:cs="宋体"/>
          <w:bCs/>
          <w:color w:val="auto"/>
          <w:sz w:val="24"/>
          <w:szCs w:val="24"/>
          <w:highlight w:val="none"/>
          <w:u w:val="single"/>
        </w:rPr>
        <w:t xml:space="preserve">2026年7月</w:t>
      </w:r>
      <w:r>
        <w:rPr>
          <w:rFonts w:hint="eastAsia" w:ascii="宋体" w:hAnsi="宋体" w:eastAsia="宋体" w:cs="宋体"/>
          <w:bCs/>
          <w:color w:val="auto"/>
          <w:sz w:val="24"/>
          <w:szCs w:val="24"/>
          <w:highlight w:val="none"/>
          <w:u w:val="single"/>
          <w:lang w:val="en-US" w:eastAsia="zh-CN"/>
        </w:rPr>
        <w:t xml:space="preserve">29</w:t>
      </w:r>
      <w:r>
        <w:rPr>
          <w:rFonts w:hint="eastAsia" w:ascii="宋体" w:hAnsi="宋体" w:eastAsia="宋体" w:cs="宋体"/>
          <w:bCs/>
          <w:color w:val="auto"/>
          <w:sz w:val="24"/>
          <w:szCs w:val="24"/>
          <w:highlight w:val="none"/>
          <w:u w:val="single"/>
        </w:rPr>
        <w:t xml:space="preserve">日14时00分00秒</w:t>
      </w:r>
      <w:r>
        <w:rPr>
          <w:rFonts w:hint="eastAsia" w:ascii="宋体" w:hAnsi="宋体" w:eastAsia="宋体" w:cs="宋体"/>
          <w:bCs/>
          <w:color w:val="auto"/>
          <w:sz w:val="24"/>
          <w:szCs w:val="24"/>
          <w:highlight w:val="none"/>
        </w:rPr>
        <w:t xml:space="preserve">（北京时间）前递交投标文件。</w:t>
      </w:r>
      <w:r/>
    </w:p>
    <w:p>
      <w:pPr>
        <w:numPr>
          <w:ilvl w:val="0"/>
          <w:numId w:val="2"/>
        </w:numPr>
        <w:contextualSpacing/>
        <w:ind w:firstLine="482"/>
        <w:spacing w:line="452" w:lineRule="exact"/>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项目基本情况</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bookmarkStart w:id="2" w:name="_Hlk104970923"/>
      <w:r>
        <w:rPr>
          <w:rFonts w:hint="eastAsia" w:ascii="宋体" w:hAnsi="宋体" w:eastAsia="宋体" w:cs="宋体"/>
          <w:color w:val="auto"/>
          <w:sz w:val="24"/>
          <w:szCs w:val="24"/>
          <w:highlight w:val="none"/>
        </w:rPr>
        <w:t xml:space="preserve">原南通新广生化工地块风险管控工程服务项目。</w:t>
      </w:r>
      <w:bookmarkEnd w:id="2"/>
      <w:r/>
      <w:r/>
    </w:p>
    <w:p>
      <w:pPr>
        <w:ind w:firstLine="480"/>
        <w:jc w:val="left"/>
        <w:spacing w:line="452" w:lineRule="exact"/>
        <w:rPr>
          <w:rFonts w:ascii="宋体" w:hAnsi="宋体" w:eastAsia="宋体" w:cs="宋体"/>
          <w:color w:val="auto"/>
          <w:sz w:val="24"/>
          <w:szCs w:val="24"/>
          <w:highlight w:val="none"/>
        </w:rPr>
      </w:pPr>
      <w:r/>
      <w:bookmarkStart w:id="3" w:name="_Toc387526365"/>
      <w:r/>
      <w:bookmarkStart w:id="4" w:name="_Toc387526169"/>
      <w:r/>
      <w:bookmarkStart w:id="5" w:name="_Toc387526273"/>
      <w:r/>
      <w:bookmarkStart w:id="6" w:name="_Toc20597"/>
      <w:r>
        <w:rPr>
          <w:rFonts w:hint="eastAsia" w:ascii="宋体" w:hAnsi="宋体" w:eastAsia="宋体" w:cs="宋体"/>
          <w:color w:val="auto"/>
          <w:sz w:val="24"/>
          <w:szCs w:val="24"/>
          <w:highlight w:val="none"/>
        </w:rPr>
        <w:t xml:space="preserve">3.项目类型：服务。</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4.预算金额：700万元。</w:t>
      </w:r>
      <w:r/>
    </w:p>
    <w:p>
      <w:pPr>
        <w:ind w:firstLine="482"/>
        <w:jc w:val="left"/>
        <w:spacing w:line="452" w:lineRule="exact"/>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5.最高限价：</w:t>
      </w:r>
      <w:r>
        <w:rPr>
          <w:rFonts w:hint="eastAsia" w:ascii="宋体" w:hAnsi="宋体" w:eastAsia="宋体" w:cs="宋体"/>
          <w:color w:val="auto"/>
          <w:sz w:val="24"/>
          <w:szCs w:val="24"/>
          <w:highlight w:val="none"/>
        </w:rPr>
        <w:t xml:space="preserve">人民币698万元。投标报价超过最高限价的投标将作为无效投标处理。</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6.项目需求：具体详见第三章采购需求，请仔细研究。</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w:t>
      </w:r>
      <w:bookmarkEnd w:id="3"/>
      <w:r/>
      <w:bookmarkEnd w:id="4"/>
      <w:r/>
      <w:bookmarkEnd w:id="5"/>
      <w:r/>
      <w:bookmarkEnd w:id="6"/>
      <w:r>
        <w:rPr>
          <w:rFonts w:hint="eastAsia" w:ascii="宋体" w:hAnsi="宋体" w:eastAsia="宋体" w:cs="宋体"/>
          <w:color w:val="auto"/>
          <w:sz w:val="24"/>
          <w:szCs w:val="24"/>
          <w:highlight w:val="none"/>
        </w:rPr>
        <w:t xml:space="preserve">自本项目</w:t>
      </w:r>
      <w:r>
        <w:rPr>
          <w:rFonts w:hint="eastAsia" w:ascii="宋体" w:hAnsi="宋体" w:eastAsia="宋体" w:cs="宋体"/>
          <w:color w:val="auto"/>
          <w:sz w:val="24"/>
          <w:szCs w:val="24"/>
          <w:highlight w:val="none"/>
          <w:lang w:val="en-US" w:eastAsia="zh-CN"/>
        </w:rPr>
        <w:t xml:space="preserve">启动</w:t>
      </w:r>
      <w:r>
        <w:rPr>
          <w:rFonts w:hint="eastAsia" w:ascii="宋体" w:hAnsi="宋体" w:eastAsia="宋体" w:cs="宋体"/>
          <w:color w:val="auto"/>
          <w:sz w:val="24"/>
          <w:szCs w:val="24"/>
          <w:highlight w:val="none"/>
        </w:rPr>
        <w:t xml:space="preserve">之日起，至效果评估通过生态环境主管部门组织或参与的专家评审（其中</w:t>
      </w:r>
      <w:r>
        <w:rPr>
          <w:rFonts w:hint="eastAsia" w:ascii="宋体" w:hAnsi="宋体" w:eastAsia="宋体" w:cs="宋体"/>
          <w:color w:val="auto"/>
          <w:sz w:val="24"/>
          <w:szCs w:val="24"/>
          <w:highlight w:val="none"/>
          <w:lang w:val="en-US" w:eastAsia="zh-CN"/>
        </w:rPr>
        <w:t xml:space="preserve">启动</w:t>
      </w:r>
      <w:r>
        <w:rPr>
          <w:rFonts w:hint="eastAsia" w:ascii="宋体" w:hAnsi="宋体" w:eastAsia="宋体" w:cs="宋体"/>
          <w:color w:val="auto"/>
          <w:sz w:val="24"/>
          <w:szCs w:val="24"/>
          <w:highlight w:val="none"/>
        </w:rPr>
        <w:t xml:space="preserve">日期以委托人要求为准，管控工期为180 日历天），须完成场地围挡、TRD 工法阻隔墙施工、微生物衰减作业等全部管控范围内工作内容）。</w:t>
      </w:r>
      <w:r/>
    </w:p>
    <w:p>
      <w:pPr>
        <w:ind w:firstLine="480"/>
        <w:jc w:val="left"/>
        <w:spacing w:line="452"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8.本项目（是/否）接受联合体：否。</w:t>
      </w:r>
      <w:r/>
    </w:p>
    <w:p>
      <w:pPr>
        <w:contextualSpacing/>
        <w:ind w:firstLine="482"/>
        <w:spacing w:line="452"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3.法定代表人授权书（如有）</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4.诚信承诺书</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5.满足《中华人民共和国政府采购法》第二十二条规定，提供声明函： （1）具有独立承担民事责任的能力； （2）具有良好的商业信誉和健全的财务会计制度； （3）具有履行合同所必需的设备和专业技术能力； （4）有依法缴纳税收和社会保障资金的良好记录； （5）参加政府采购活动前三年内，在经营活动中没有重大违法记录； （6）法律、行政法规规定的其他条件。</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 </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ind w:left="0" w:right="0" w:firstLine="482"/>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具体资格要求详见第八章中的“资格审查文件”。</w:t>
      </w:r>
      <w:r/>
    </w:p>
    <w:p>
      <w:pPr>
        <w:ind w:left="0" w:right="0" w:firstLine="482"/>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2.地点：网上注册登记成功后系统内下载。</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3.获取方式：网上注册登记成功后系统内免费下载。</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4.</w:t>
      </w:r>
      <w:r>
        <w:rPr>
          <w:rFonts w:ascii="SimSun" w:hAnsi="SimSun" w:eastAsia="SimSun" w:cs="SimSun"/>
          <w:color w:val="000000"/>
          <w:sz w:val="26"/>
        </w:rPr>
        <w:t xml:space="preserve">售价：</w:t>
      </w:r>
      <w:r>
        <w:rPr>
          <w:rFonts w:ascii="Times New Roman" w:hAnsi="Times New Roman" w:eastAsia="Times New Roman" w:cs="Times New Roman"/>
          <w:color w:val="000000"/>
          <w:sz w:val="26"/>
        </w:rPr>
        <w:t xml:space="preserve">0.00</w:t>
      </w:r>
      <w:r>
        <w:rPr>
          <w:rFonts w:ascii="SimSun" w:hAnsi="SimSun" w:eastAsia="SimSun" w:cs="SimSun"/>
          <w:color w:val="000000"/>
          <w:sz w:val="26"/>
        </w:rPr>
        <w:t xml:space="preserve">元 </w:t>
      </w:r>
      <w:r/>
    </w:p>
    <w:p>
      <w:pPr>
        <w:ind w:left="0" w:right="0" w:firstLine="482"/>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1.投标文件提交截止时间：</w:t>
      </w:r>
      <w:r>
        <w:rPr>
          <w:rFonts w:ascii="SimSun" w:hAnsi="SimSun" w:eastAsia="SimSun" w:cs="SimSun"/>
          <w:color w:val="000000"/>
          <w:sz w:val="24"/>
          <w:u w:val="single"/>
        </w:rPr>
        <w:t xml:space="preserve">2026年7月29日14时00分00秒</w:t>
      </w:r>
      <w:r>
        <w:rPr>
          <w:rFonts w:ascii="SimSun" w:hAnsi="SimSun" w:eastAsia="SimSun" w:cs="SimSun"/>
          <w:color w:val="000000"/>
          <w:sz w:val="24"/>
        </w:rPr>
        <w:t xml:space="preserve">（北京时间）。逾时，“苏采云”系统将拒绝接受上传投标文件电子文档。</w:t>
      </w:r>
      <w:r/>
    </w:p>
    <w:p>
      <w:pPr>
        <w:ind w:left="0" w:right="0" w:firstLine="480"/>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2.线上开标地点：“苏采云”系统（网址：http://jszfcg.jsczt.cn/）“开标大厅”。</w:t>
      </w:r>
      <w:r/>
    </w:p>
    <w:p>
      <w:pPr>
        <w:ind w:left="0" w:right="0" w:firstLine="482"/>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1.投标保证金：免收；本项目招标文件中涉及投标保证金的事项，均按免收投标保证金执行。</w:t>
      </w:r>
      <w:r/>
    </w:p>
    <w:p>
      <w:pPr>
        <w:ind w:left="0" w:right="0" w:firstLine="480"/>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2.项目开标活动模式：不见面远程投标模式，投标人在各自地点通过不见面交易系统参加开标会。</w:t>
      </w:r>
      <w:r/>
    </w:p>
    <w:p>
      <w:pPr>
        <w:ind w:left="0" w:right="0" w:firstLine="480"/>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3.项目演示、样品、答辩等（如有请描述）：无。</w:t>
      </w:r>
      <w:r/>
    </w:p>
    <w:p>
      <w:pPr>
        <w:ind w:left="0" w:right="0" w:firstLine="480"/>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4.对项目需求部分（投标人其他资格要求、项目需求、评分标准）的询问、质疑请向招标人提出，由招标人负责答复；对项目招标文件其他部分的询问请向招标人或代理机构提出。</w:t>
      </w:r>
      <w:r/>
    </w:p>
    <w:p>
      <w:pPr>
        <w:ind w:left="0" w:right="0" w:firstLine="480"/>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left="0" w:right="0" w:firstLine="482"/>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6.请各投标人充分考虑项目要求，谨慎参与交易，中标后非招标人原因中标人放弃中标资格的，该投标人将记入不良记录，并报相关部门将其列入黑名单，视情公布在相关网站。</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7.本次招标的有关信息将在江苏政府采购网上发布，敬请留意。</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8.</w:t>
      </w:r>
      <w:r>
        <w:rPr>
          <w:rFonts w:ascii="SimSun" w:hAnsi="SimSun" w:eastAsia="SimSun" w:cs="SimSun"/>
          <w:color w:val="000000"/>
          <w:sz w:val="26"/>
        </w:rPr>
        <w:t xml:space="preserve">“苏采云”系统使用相关提醒</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8.1潜在投标人访问电子招标响应交易平台的网络地址和方法：</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8.2潜在投标人访问“苏采云”系统的网络地址和方法：“苏采云”系统的网址：http://jszfcg.jsczt.cn/。</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8.3“CA数字证书”的获取：</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8.4采购文件（后缀名为“.kedt”）、供应商操作手册及政府采购客户端工具可通过“苏采云”系统--已报名项目--报名详情页面内相应链接进行下载。</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8.5招标人或代理机构（采购代理机构）将数据电文形式的采购文件加载至“苏采云”系统，供潜在投标人下载或者查阅。</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8.6请潜在投标人提前安装相应的控件（详见《江苏省政府采购管理交易系统（苏采云）供应商操作手册》）并使用谷歌浏览器登录“苏采云”系统参与不见面开评标。</w:t>
      </w:r>
      <w:r/>
    </w:p>
    <w:p>
      <w:pPr>
        <w:ind w:left="0" w:right="0" w:firstLine="480"/>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left="0" w:right="0" w:firstLine="482"/>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注：如潜在投标人未按上述要求操作，将自行承担所产生的风险。</w:t>
      </w:r>
      <w:r/>
    </w:p>
    <w:p>
      <w:pPr>
        <w:ind w:left="0" w:right="0" w:firstLine="480"/>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的解密：开标当天各投标人及时登录不见面开标大厅，投标文件递交截止时间后，招标人将在系统内公布投标人名单，然后通过开标会议区发出响应文件解密的指令，投标人在开标室按规定时间自行实施远程解密，</w:t>
      </w:r>
      <w:r>
        <w:rPr>
          <w:rFonts w:ascii="SimSun" w:hAnsi="SimSun" w:eastAsia="SimSun" w:cs="SimSun"/>
          <w:b/>
          <w:color w:val="000000"/>
          <w:sz w:val="24"/>
        </w:rPr>
        <w:t xml:space="preserve">投标人解密限定在开标后30分钟之内完成</w:t>
      </w:r>
      <w:r>
        <w:rPr>
          <w:rFonts w:ascii="SimSun" w:hAnsi="SimSun" w:eastAsia="SimSun" w:cs="SimSun"/>
          <w:color w:val="000000"/>
          <w:sz w:val="24"/>
        </w:rPr>
        <w:t xml:space="preserve">。</w:t>
      </w:r>
      <w:r>
        <w:rPr>
          <w:rFonts w:ascii="SimSun" w:hAnsi="SimSun" w:eastAsia="SimSun" w:cs="SimSun"/>
          <w:color w:val="000000"/>
          <w:sz w:val="24"/>
          <w:u w:val="single"/>
        </w:rPr>
        <w:t xml:space="preserve">因投标人网络与电源不稳定、未按操作手册要求配置软硬件、解密锁发生故障或用错、故意不在要求时限内完成解密等自身原因，导致响应文件在规定时间内未能解密、解密失败或解密超时，视为投标人撤销其响应文件，系统内响应文件将被退回；因招标人（或代理机构）原因或网上招投标平台发生故障，导致无法按时完成响应文件解密或开、评标工作无法进行的，可根据实际情况相应延迟解密时间或调整开、评标时间。</w:t>
      </w:r>
      <w:r/>
    </w:p>
    <w:p>
      <w:pPr>
        <w:ind w:left="0" w:right="0" w:firstLine="482"/>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注：各投标人请关注开标大厅交流区，在开标结束后，请勿离开开标大厅。</w:t>
      </w:r>
      <w:r/>
    </w:p>
    <w:p>
      <w:pPr>
        <w:ind w:left="0" w:right="0" w:firstLine="482"/>
        <w:jc w:val="both"/>
        <w:spacing w:before="0" w:after="0" w:line="45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10.参与本项目风险管控方案编制工作的单位，不得参与本项目的投标活动。</w:t>
      </w:r>
      <w:r/>
      <w:r>
        <w:rPr>
          <w:rFonts w:ascii="宋体" w:hAnsi="宋体" w:eastAsia="宋体" w:cs="宋体"/>
          <w:b/>
          <w:color w:val="auto"/>
          <w:sz w:val="24"/>
          <w:szCs w:val="24"/>
          <w:highlight w:val="none"/>
        </w:rPr>
      </w:r>
      <w:r/>
      <w:r>
        <w:rPr>
          <w:rFonts w:ascii="Times New Roman" w:hAnsi="Times New Roman" w:eastAsia="Times New Roman" w:cs="Times New Roman"/>
          <w:sz w:val="26"/>
        </w:rPr>
      </w:r>
    </w:p>
    <w:p>
      <w:pPr>
        <w:contextualSpacing/>
        <w:ind w:firstLine="482"/>
        <w:spacing w:line="452"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招标人：南通港闸经济开发区管理委员会</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地址：南通市崇川区城港路118号</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联系人：顾先生</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联系方式：0513-85602392</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2.代理机构信息</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名称：江苏永诚工程造价事务所有限公司</w:t>
      </w:r>
      <w:r/>
    </w:p>
    <w:p>
      <w:pPr>
        <w:ind w:firstLine="480"/>
        <w:jc w:val="left"/>
        <w:spacing w:line="42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地址：南通市崇川区东景路三佳服饰厂内3楼</w:t>
      </w:r>
      <w:r/>
    </w:p>
    <w:p>
      <w:pPr>
        <w:ind w:firstLine="480"/>
        <w:jc w:val="left"/>
        <w:spacing w:line="42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周工</w:t>
      </w:r>
      <w:r>
        <w:rPr>
          <w:rFonts w:hint="eastAsia" w:ascii="宋体" w:hAnsi="宋体" w:eastAsia="宋体" w:cs="宋体"/>
          <w:color w:val="auto"/>
          <w:sz w:val="24"/>
          <w:szCs w:val="24"/>
          <w:highlight w:val="none"/>
        </w:rPr>
        <w:t xml:space="preserve">  </w:t>
      </w:r>
      <w:r/>
    </w:p>
    <w:p>
      <w:pPr>
        <w:ind w:firstLine="480"/>
        <w:jc w:val="left"/>
        <w:spacing w:line="42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联系电话：13186536628</w:t>
      </w:r>
      <w:r/>
    </w:p>
    <w:p>
      <w:pPr>
        <w:contextualSpacing/>
        <w:ind w:firstLine="480"/>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spacing w:line="420" w:lineRule="exact"/>
        <w:shd w:val="clear" w:color="auto" w:fill="ffffff"/>
        <w:widowControl/>
        <w:rPr>
          <w:rFonts w:ascii="宋体" w:hAnsi="宋体" w:eastAsia="宋体" w:cs="宋体"/>
          <w:color w:val="auto"/>
          <w:sz w:val="24"/>
          <w:szCs w:val="24"/>
          <w:highlight w:val="none"/>
        </w:rPr>
      </w:pPr>
      <w:r/>
      <w:bookmarkStart w:id="7" w:name="_Toc363573854"/>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周工</w:t>
      </w:r>
      <w:r>
        <w:rPr>
          <w:rFonts w:hint="eastAsia" w:ascii="宋体" w:hAnsi="宋体" w:eastAsia="宋体" w:cs="宋体"/>
          <w:color w:val="auto"/>
          <w:sz w:val="24"/>
          <w:szCs w:val="24"/>
          <w:highlight w:val="none"/>
        </w:rPr>
        <w:t xml:space="preserve">  </w:t>
      </w:r>
      <w:r/>
    </w:p>
    <w:p>
      <w:pPr>
        <w:ind w:firstLine="480"/>
        <w:jc w:val="left"/>
        <w:spacing w:line="420" w:lineRule="exact"/>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联系电话：13186536628</w:t>
      </w:r>
      <w:r/>
    </w:p>
    <w:p>
      <w:pPr>
        <w:ind w:firstLine="480"/>
        <w:spacing w:line="452"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邮箱：</w:t>
      </w:r>
      <w:r>
        <w:rPr>
          <w:color w:val="auto"/>
          <w:highlight w:val="none"/>
        </w:rPr>
        <w:fldChar w:fldCharType="begin"/>
      </w:r>
      <w:r>
        <w:rPr>
          <w:color w:val="auto"/>
          <w:highlight w:val="none"/>
        </w:rPr>
        <w:instrText xml:space="preserve"> HYPERLINK "mailto:812298892@qq.com" \o "mailto:812298892@qq.com" </w:instrText>
      </w:r>
      <w:r>
        <w:rPr>
          <w:color w:val="auto"/>
          <w:highlight w:val="none"/>
        </w:rPr>
        <w:fldChar w:fldCharType="separate"/>
      </w:r>
      <w:r>
        <w:rPr>
          <w:rFonts w:hint="eastAsia" w:ascii="宋体" w:hAnsi="宋体" w:eastAsia="宋体" w:cs="宋体"/>
          <w:color w:val="auto"/>
          <w:sz w:val="24"/>
          <w:szCs w:val="22"/>
          <w:highlight w:val="none"/>
        </w:rPr>
        <w:t xml:space="preserve">1175567602@qq.com</w:t>
      </w:r>
      <w:r>
        <w:rPr>
          <w:rFonts w:hint="eastAsia" w:ascii="宋体" w:hAnsi="宋体" w:eastAsia="宋体" w:cs="宋体"/>
          <w:color w:val="auto"/>
          <w:sz w:val="24"/>
          <w:szCs w:val="22"/>
          <w:highlight w:val="none"/>
        </w:rPr>
        <w:fldChar w:fldCharType="end"/>
      </w:r>
      <w:r/>
    </w:p>
    <w:p>
      <w:pPr>
        <w:ind w:firstLine="480"/>
        <w:spacing w:line="452" w:lineRule="exact"/>
        <w:rPr>
          <w:rFonts w:ascii="宋体" w:hAnsi="宋体" w:eastAsia="宋体" w:cs="宋体"/>
          <w:color w:val="auto"/>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2"/>
          <w:highlight w:val="none"/>
        </w:rPr>
        <w:t xml:space="preserve">软件技术支持：0519-86722801。</w:t>
      </w:r>
      <w:r/>
    </w:p>
    <w:p>
      <w:pPr>
        <w:jc w:val="center"/>
        <w:spacing w:line="360" w:lineRule="auto"/>
        <w:tabs>
          <w:tab w:val="left" w:pos="1050" w:leader="none"/>
          <w:tab w:val="right" w:pos="9402" w:leader="dot"/>
        </w:tabs>
        <w:rPr>
          <w:rFonts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第二章 投标人须知</w:t>
      </w:r>
      <w:bookmarkEnd w:id="7"/>
      <w:r/>
      <w:bookmarkStart w:id="8" w:name="_Toc363573855"/>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一、总则</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1.招标方式</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2.合格的投标人</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3.适用法律</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4.投标费用</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4.1投标人应自行承担所有与参加投标有关的费用，无论投标过程中的做法和结果如何，招标人及代理机构在任何情况下均无义务和责任承担这些费用。</w:t>
      </w:r>
      <w:r/>
    </w:p>
    <w:p>
      <w:pPr>
        <w:contextualSpacing/>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4.2本项目招标代理费差额累进方式计收，由采购人</w:t>
      </w:r>
      <w:r>
        <w:rPr>
          <w:rFonts w:hint="eastAsia"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中标供应商无需承担</w:t>
      </w:r>
      <w:r>
        <w:rPr>
          <w:rFonts w:hint="eastAsia" w:ascii="宋体" w:hAnsi="宋体" w:eastAsia="宋体" w:cs="宋体"/>
          <w:color w:val="auto"/>
          <w:sz w:val="24"/>
          <w:szCs w:val="24"/>
          <w:highlight w:val="none"/>
          <w:lang w:eastAsia="zh-CN"/>
        </w:rPr>
        <w:t xml:space="preserve">。</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政府采购代理费率标准：</w:t>
      </w:r>
      <w:r/>
    </w:p>
    <w:tbl>
      <w:tblPr>
        <w:tblStyle w:val="793"/>
        <w:tblW w:w="82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274"/>
        <w:gridCol w:w="4961"/>
      </w:tblGrid>
      <w:tr>
        <w:trPr>
          <w:jc w:val="center"/>
          <w:trHeight w:val="289"/>
          <w:tblHeader/>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中标金额</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服务招标代理收费费率</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50万元以下的项目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50-100万元的项目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100-200万元的项目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200-300万元的项目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300-400万元的项目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400-500万元的项目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r>
      <w:tr>
        <w:trPr>
          <w:jc w:val="center"/>
          <w:trHeight w:val="26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500-1000万元的项目</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jc w:val="center"/>
          <w:trHeight w:val="407"/>
        </w:trPr>
        <w:tc>
          <w:tcPr>
            <w:tcBorders>
              <w:top w:val="single" w:color="auto" w:sz="4" w:space="0"/>
              <w:left w:val="single" w:color="auto" w:sz="4" w:space="0"/>
              <w:bottom w:val="single" w:color="auto" w:sz="4" w:space="0"/>
              <w:right w:val="single" w:color="auto" w:sz="4" w:space="0"/>
            </w:tcBorders>
            <w:tcW w:w="3274"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tcBorders>
              <w:top w:val="single" w:color="auto" w:sz="4" w:space="0"/>
              <w:left w:val="single" w:color="auto" w:sz="4" w:space="0"/>
              <w:bottom w:val="single" w:color="auto" w:sz="4" w:space="0"/>
              <w:right w:val="single" w:color="auto" w:sz="4" w:space="0"/>
            </w:tcBorders>
            <w:tcW w:w="4961" w:type="dxa"/>
            <w:vAlign w:val="center"/>
            <w:textDirection w:val="lrTb"/>
            <w:noWrap/>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招标代理费用不足2000元的，按2000元收费。</w:t>
            </w:r>
            <w:r/>
          </w:p>
        </w:tc>
      </w:tr>
    </w:tbl>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6.招标文件的解释</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招标文件需求部分（投标人资格要求、项目需求、商务技术评分标准）由招标人解释，其他部分由代理机构解释。</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二、招标文件</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1.招标文件构成</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招标文件由以下部分组成：</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（3）项目需求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（4）评审方法和评审标准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（5）合同主要条款</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（6）合同授予</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（7）质疑与投诉</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（8）投标文件组成及格式</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bCs/>
          <w:color w:val="auto"/>
          <w:sz w:val="24"/>
          <w:szCs w:val="24"/>
          <w:highlight w:val="none"/>
        </w:rPr>
        <w:t xml:space="preserve">招标人或代理机构</w:t>
      </w:r>
      <w:r>
        <w:rPr>
          <w:rFonts w:hint="eastAsia" w:ascii="宋体" w:hAnsi="宋体" w:eastAsia="宋体" w:cs="宋体"/>
          <w:color w:val="auto"/>
          <w:sz w:val="24"/>
          <w:szCs w:val="24"/>
          <w:highlight w:val="none"/>
        </w:rPr>
        <w:t xml:space="preserve">联系解决。</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2.招标文件的澄清</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color w:val="auto"/>
          <w:sz w:val="24"/>
          <w:szCs w:val="24"/>
          <w:highlight w:val="none"/>
        </w:rPr>
        <w:t xml:space="preserve">任何要求对招标文件进行澄清的投标人，应在提交投标文件截止时间十日前按招标公告中的通讯地址，以书面形式通知招标人或代理机构。招标人或代理机构有权对发出的招标文件进行必要的澄清或修改。</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bCs/>
          <w:color w:val="auto"/>
          <w:sz w:val="24"/>
          <w:szCs w:val="24"/>
          <w:highlight w:val="none"/>
        </w:rPr>
        <w:t xml:space="preserve">招标人</w:t>
      </w:r>
      <w:r>
        <w:rPr>
          <w:rFonts w:hint="eastAsia" w:ascii="宋体" w:hAnsi="宋体" w:eastAsia="宋体" w:cs="宋体"/>
          <w:color w:val="auto"/>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3.招标文件的修改</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 在投标文件提交截止时间前，招标人或代理机构可以对招标文件进行修改</w:t>
      </w:r>
      <w:r>
        <w:rPr>
          <w:rFonts w:hint="eastAsia" w:ascii="宋体" w:hAnsi="宋体" w:eastAsia="宋体" w:cs="宋体"/>
          <w:color w:val="auto"/>
          <w:sz w:val="24"/>
          <w:szCs w:val="24"/>
          <w:highlight w:val="none"/>
        </w:rPr>
        <w:t xml:space="preserve">，澄清或者修改的内容作为招标文件的组成部分。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 招标人或代理机构有权按照法定的要求推迟投标文件提交截止日期和开标日期。</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3.3 招标文件的修改将在江苏政府采购网公布，补充文件将作为招标文件的组成部分，并对投标人具有约束力</w:t>
      </w:r>
      <w:r>
        <w:rPr>
          <w:rFonts w:hint="eastAsia" w:ascii="宋体" w:hAnsi="宋体" w:eastAsia="宋体" w:cs="宋体"/>
          <w:color w:val="auto"/>
          <w:sz w:val="24"/>
          <w:szCs w:val="24"/>
          <w:highlight w:val="none"/>
        </w:rPr>
        <w:t xml:space="preserve">。</w:t>
      </w:r>
      <w:r/>
    </w:p>
    <w:p>
      <w:pPr>
        <w:contextualSpacing/>
        <w:ind w:firstLine="482"/>
        <w:spacing w:line="360" w:lineRule="auto"/>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三、投标项目涉及的现场勘察</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所提供的项目相关数据仅作参考，根据自身需要，投标人可在投标文件递交之日前对有关现场和周围环境进行勘察，以获取编制投标文件和签署合同所需的信息。勘察现场所发生的费用由投标人自己承担。</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2.招标人向投标人提供的有关现场的资料和数据，是招标人现有的并认为能使投标人可利用的资料。招标人对投标人由此而做出的推论、理解和结论概不负责。</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3.经招标人允许，投标人可为勘察目的进入招标人的项目现场，但投标人不得因此使招标人承担有关的责任和蒙受损失。投标人应承担勘察现场的责任和风险。</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应认真踏勘现场。在现场勘察时，熟悉服务现场、现场周围交通道路等情况，以获得一切可能影响其投标的直接资料。投标人中标后，不得以不完全了解现场情况为理由而向招标人提出任何索赔的要求，对此招标人不承担任何责任并将不做任何答复与考虑。</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四、投标文件的编制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1.投标文件的语言及度量衡单位</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1.1投标人提交的投标文件以及投标人与招标人或代理机构就有关投标的所有来往通知、函件和文件均应使用简体中文。</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1.2除技术性能另有规定外，投标文件所使用的度量衡单位，均须采用国家法定计量单位。</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2.投标文件构成</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2.2如标书制作工具中的格式和内容与“江苏政府采购网”发布的招标文件不一致，请以“江苏政府采购网”发布的招标文件为准。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3.证明投标人及投标标的符合招标文件规定的文件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3.1投标人应按照法律法规、规章和规范性文件以及招标文件要求提交证明文件，证明其及投标标的符合招标文件的规定。</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3.2招标文件对证明文件无明确形式要求的，证明文件可以以文字资料、图纸和数据等形式提交。</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4.投标分项报价表</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4.1投标人应按照招标文件规定格式填报投标分项报价表。</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4.2投标货币。投标文件中的单价和总价无特殊规定的采用人民币报价，以元为单位标注。招标文件中另有规定的按规定执行。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5.技术要求响应及偏离表、商务要求响应及偏离表</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5.1投标人需对招标文件中的技术要求与商务要求逐项作出响应或偏离，并说明原因。</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5.2投标人可在投标文件中提供认为需要的其他技术文件或说明。</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6.投标函和开标一览表</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6.1投标人应按照招标文件中提供的格式完整、正确填写投标函、开标一览表。</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7.投标有效期</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7.1投标有效期为招标文件规定的投标文件提交截止时间后</w:t>
      </w:r>
      <w:r>
        <w:rPr>
          <w:rFonts w:hint="eastAsia" w:ascii="宋体" w:hAnsi="宋体" w:eastAsia="宋体" w:cs="宋体"/>
          <w:bCs/>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。投标有效期比规定短的将被视为非实质性响应而予以拒绝。</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8.投标有效期的延长</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在特殊情况下，招标人或代理机构于原投标有效期满之前，可向投标人提出延长投标有效期的要求。这种要求与答复均应采用书面形式。投标人可以拒绝招标人或代理机构的这一要求而放弃投标，同意延长投标有效期的投标人既不能要求也不允许修改其投标文件，同时受投标有效期约束的所有权利与义务均延长至新的有效期。</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9.电子投标文件其他要求</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9.1电子招标投标交易平台（即“苏采云”系统）相关要求是本招标文件的组成部分。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9.2投标人应对CA证书妥善保管，如被他人盗用投标，因此带来的后果均由投标人自行承担。</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9.3投标人应当对招标文件提出的实质性要求和条件作出实质性响应，并在电子投标系统逐条应答。</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9.4投标人应对要求提供的资格证明文件（如资质证书、资格证书）、技术资料（如白皮书、彩页、手册、检测报告等）扫描上传至投标系统。 </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五、投标文件的提交</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1.投标文件的提交</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1.1线上提交与接收地点：投标人应当通过“苏采云”系统提交数据电文形式的投标文件（即电子投标），“苏采云”系统自动接收。</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2.提交投标文件截止日期</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投标人上传电子投标文件的时间不得迟于公开招标公告中规定的投标文件提交截止时间。</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投标人应充分考虑网络环境、网络带宽等风险因素，如因投标人自身原因造成的电子投标文件上传不成功由投标人自行承担全部责任。</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招标人或代理机构可以按照规定，通过修改投标文件酌情延长投标文件提交截止日期，在此情况下，投标人的所有权利和义务以及投标人受制的截止日期均应以延长后新的截止日期为准。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3.投标文件的密封（加密）要求：</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3.2投标人须通过“苏采云”系统提供的政府采购客户端工具（使用“CA数字证书”）加盖电子签章。</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说明：投标人应使用CA数字证书以及自备的能够登录“苏采云”系统的电脑，在达到开标时间后，使用CA数字证书解密各自投标文件。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3.3投标人未按规定加密的投标文件，“苏采云”系统将拒收并提示。</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4.投标文件的拒收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4.1代理机构拒绝接收在其规定的投标文件提交截止时间后上传的任何投标文件。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投标文件的撤回和修改</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 投标文件的撤回</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5.1.1 电子投标文件的撤回</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投标人可在投标文件提交截止时间前，撤回其电子投标文件，具体操作方法见“苏采云”系统供应商操作手册。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5.1.2 投标人撤回电子投标文件，则认为其不再参与本项目投标活动。</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 投标文件的修改</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投标人可在投标文件提交截止时间前，对其电子投标文件进行修改。具体操作方法见“苏采云”系统供应商操作手册。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 在投标文件提交截止时间之后，投标人不得对其电子投标文件作任何修改。</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 在投标文件提交截止时间至招标文件中规定的投标有效期满之间的这段时间内，投标人不得撤回其投标文件。</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6.投标文件线上格式要求</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6.1投标人应当通过“苏采云”系统提交数据电文形式的投标文件（即电子投标）。</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6.2通过“苏采云”系统提交政府采购客户端工具导出加密的投标文件（后缀名为zip）。响应文件不得超过150M!</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6.3本项目采用线上投标，即投标人投标文件从政府采购客户端工具制作通过“苏采云”系统提交，未提供线上投标文件的，投标无效。</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六、开标与评标</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1.开标</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1.1招标人或代理机构将在招标公告中规定的时间和地点组织公开开标。</w:t>
      </w:r>
      <w:r>
        <w:rPr>
          <w:rFonts w:hint="eastAsia" w:ascii="宋体" w:hAnsi="宋体" w:eastAsia="宋体" w:cs="宋体"/>
          <w:color w:val="auto"/>
          <w:sz w:val="24"/>
          <w:szCs w:val="24"/>
          <w:highlight w:val="none"/>
        </w:rPr>
        <w:t xml:space="preserve">投标人应当按照</w:t>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color w:val="auto"/>
          <w:sz w:val="24"/>
          <w:szCs w:val="24"/>
          <w:highlight w:val="none"/>
        </w:rPr>
        <w:t xml:space="preserve">规定，参加开标活动，在</w:t>
      </w:r>
      <w:r>
        <w:rPr>
          <w:rFonts w:hint="eastAsia" w:ascii="宋体" w:hAnsi="宋体" w:eastAsia="宋体" w:cs="宋体"/>
          <w:b/>
          <w:color w:val="auto"/>
          <w:sz w:val="24"/>
          <w:szCs w:val="24"/>
          <w:highlight w:val="none"/>
        </w:rPr>
        <w:t xml:space="preserve">开标后</w:t>
      </w:r>
      <w:r>
        <w:rPr>
          <w:rFonts w:hint="eastAsia" w:ascii="宋体" w:hAnsi="宋体" w:eastAsia="宋体" w:cs="宋体"/>
          <w:b/>
          <w:color w:val="auto"/>
          <w:sz w:val="24"/>
          <w:szCs w:val="24"/>
          <w:highlight w:val="none"/>
          <w:u w:val="single"/>
        </w:rPr>
        <w:t xml:space="preserve">30分钟内</w:t>
      </w:r>
      <w:r>
        <w:rPr>
          <w:rFonts w:hint="eastAsia" w:ascii="宋体" w:hAnsi="宋体" w:eastAsia="宋体" w:cs="宋体"/>
          <w:color w:val="auto"/>
          <w:sz w:val="24"/>
          <w:szCs w:val="24"/>
          <w:highlight w:val="none"/>
        </w:rPr>
        <w:t xml:space="preserve">对投标文件进行解密。</w:t>
      </w:r>
      <w:r/>
    </w:p>
    <w:p>
      <w:pPr>
        <w:contextualSpacing/>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eastAsia="宋体" w:cs="宋体"/>
          <w:b/>
          <w:color w:val="auto"/>
          <w:sz w:val="24"/>
          <w:szCs w:val="24"/>
          <w:highlight w:val="none"/>
        </w:rPr>
        <w:t xml:space="preserve">因招标人（或代理机构）原因或网上招投标平台发生故障，导致无法按时完成投标文件解密或开、评标工作无法进行的，可根据实际情况相应延迟解密时间或调整开、评标时间。</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color w:val="auto"/>
          <w:sz w:val="24"/>
          <w:szCs w:val="24"/>
          <w:highlight w:val="none"/>
        </w:rPr>
        <w:t xml:space="preserve">开标仪式由</w:t>
      </w:r>
      <w:r>
        <w:rPr>
          <w:rFonts w:hint="eastAsia" w:ascii="宋体" w:hAnsi="宋体" w:eastAsia="宋体" w:cs="宋体"/>
          <w:bCs/>
          <w:color w:val="auto"/>
          <w:sz w:val="24"/>
          <w:szCs w:val="24"/>
          <w:highlight w:val="none"/>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1.3投标人在开标过程中涉及的投标文件解密、开标结果确认等工作，应按照“苏采云”系统供应商操作手册规定执行。</w:t>
      </w:r>
      <w:r/>
    </w:p>
    <w:p>
      <w:pPr>
        <w:contextualSpacing/>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1.4投标人如果对开标过程和开标记录有疑义，应当根据</w:t>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color w:val="auto"/>
          <w:sz w:val="24"/>
          <w:szCs w:val="24"/>
          <w:highlight w:val="none"/>
        </w:rPr>
        <w:t xml:space="preserve">规定提出，如苏采云系统中《开标记录表》宣布后5分钟内未提出的，视同认可开标结果。</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2.1开标后，代理机构将立即组织评标委员会（以下简称评委会）进行评审。</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2.2评委会由招标人代表和有关技术、经济等方面的专家组成，且人员构成符合政府采购有关规定。</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2.3评标委员会独立工作，负责评审所有投标文件并确定中标候选人。</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3.评审过程的保密与公正</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3.1评标委员会、招标人或代理机构、相关监督人员等与评审工作有关的人员，对评审情况以及在评审过程中获悉的国家秘密、商业秘密负有保密责任。</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3.2在评审过程中，投标人不得以任何行为影响评审过程，否则其投标文件将被作为无效投标文件。</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3.4凡是与审查、澄清、评价和比较投标的有关资料以及授标建议等，招标人、评标委员会、代理机构均不得向投标人或与评标无关的其他人员透露。</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3.5在评审期间，代理机构将设专门人员与投标人联系。</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3.6招标人、代理机构和评标委员会不向未中标的投标人解释未中标原因，也不公布评审过程中的相关细节。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3.7采用综合评分法的项目，未中标的投标人可于中标结果公告期限届满之日起通过苏采云系统查看自己的评审得分及排序情况。</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4.投标文件的澄清</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做澄清要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4.3接到评标委员会澄清、说明和更正要求的投标人如未按规定作出澄清、说明和更正，其风险由投标人自行承担。</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5.对投标文件的审查</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5.1投标文件初审分为资格性审查和符合性审查。</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5.1.1资格性检查：依据法律法规和招标文件的规定，由招标人对投标文件中的资格证明文件进行审查。资格审查的结论，招标人以书面形式向评委会进行反馈。</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招标人在进行资格性审查的同时，将在“信用中国”、“中国政府采购网”网站查询投标人的信用记录，以确定投标人是否具备投标资格，查询结果留存并归档。</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5.1.3未通过资格审查或符合性审查的投标人，代理机构将在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中告知未通过资格审查或符合性审查的原因，评审结束后，代理机构将不再告知未通过资格审查或符合性审查的原因。</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w:t>
      </w:r>
      <w:r>
        <w:rPr>
          <w:rFonts w:hint="eastAsia" w:ascii="宋体" w:hAnsi="宋体" w:eastAsia="宋体" w:cs="宋体"/>
          <w:color w:val="auto"/>
          <w:sz w:val="24"/>
          <w:szCs w:val="24"/>
          <w:highlight w:val="none"/>
        </w:rPr>
        <w:t xml:space="preserve">在详细评审之前</w:t>
      </w:r>
      <w:r>
        <w:rPr>
          <w:rFonts w:hint="eastAsia" w:ascii="宋体" w:hAnsi="宋体" w:eastAsia="宋体" w:cs="宋体"/>
          <w:bCs/>
          <w:color w:val="auto"/>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宋体" w:hAnsi="宋体" w:eastAsia="宋体" w:cs="宋体"/>
          <w:color w:val="auto"/>
          <w:sz w:val="24"/>
          <w:szCs w:val="24"/>
          <w:highlight w:val="none"/>
        </w:rPr>
        <w:t xml:space="preserve">重大偏离的认定需经过评委会以少数服从多数的原则作出结论</w:t>
      </w:r>
      <w:r>
        <w:rPr>
          <w:rFonts w:hint="eastAsia" w:ascii="宋体" w:hAnsi="宋体" w:eastAsia="宋体" w:cs="宋体"/>
          <w:bCs/>
          <w:color w:val="auto"/>
          <w:sz w:val="24"/>
          <w:szCs w:val="24"/>
          <w:highlight w:val="none"/>
        </w:rPr>
        <w:t xml:space="preserve">。评标委员会决定投标文件的响应性只根据投标文件本身的内容，而不寻求外部的证据。</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5.3如果投标文件实质上没有响应招标文件的要求，评标委员会将予以拒绝，投标人不得通过修改或撤销不合要求的偏离或保留而使其投标文件成为实质性响应的文件。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5.4评标委员会将对确定为实质性响应的文件进行进一步审核，看其是否有计算上或累加上的算术错误，修正错误的原则如下：</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5.6评标委员会将允许修正投标文件中不构成重大偏离的、微小的、非正规的、不一致的或不规则的地方，但这些修改不能影响任何投标人相应的名次排列。</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5.7</w:t>
      </w:r>
      <w:r>
        <w:rPr>
          <w:rFonts w:hint="eastAsia" w:ascii="宋体" w:hAnsi="宋体" w:eastAsia="宋体" w:cs="宋体"/>
          <w:color w:val="auto"/>
          <w:sz w:val="24"/>
          <w:szCs w:val="24"/>
          <w:highlight w:val="none"/>
        </w:rPr>
        <w:t xml:space="preserve">投标人在开、评标全过程中应保持通讯畅通，及时登录苏采云系统查阅、答复相关信息</w:t>
      </w:r>
      <w:r>
        <w:rPr>
          <w:rFonts w:hint="eastAsia" w:ascii="宋体" w:hAnsi="宋体" w:eastAsia="宋体" w:cs="宋体"/>
          <w:bCs/>
          <w:color w:val="auto"/>
          <w:sz w:val="24"/>
          <w:szCs w:val="24"/>
          <w:highlight w:val="none"/>
        </w:rPr>
        <w:t xml:space="preserve">，并安排专人与招标人或代理机构及评标委员会联系</w:t>
      </w:r>
      <w:r>
        <w:rPr>
          <w:rFonts w:hint="eastAsia" w:ascii="宋体" w:hAnsi="宋体" w:eastAsia="宋体" w:cs="宋体"/>
          <w:color w:val="auto"/>
          <w:sz w:val="24"/>
          <w:szCs w:val="24"/>
          <w:highlight w:val="none"/>
        </w:rPr>
        <w:t xml:space="preserve">。</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七、无效投标条款</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1.同一投标人提交两个（含两个）以上不同的投标报价的。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2.投标人不具备招标文件中规定的资格要求的。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3.投标人的报价超过了采购预算或最高限价的。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4.未通过符合性审查的。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5.不符合招标文件中规定的实质性要求和条件的。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被“信用中国”网站列入失信被执行人、重大税收违法案件当事人名单，被“中国政府采购网”列入政府采购严重违法失信行为记录名单，或查询“信用中国”网站后发现投标人存在其他不符合《中华人民共和国政府采购法》第二十二条规定条件的信用记录。</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7.投标文件含有招标人不能接受的附加条件的。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评标委员会认为投标人的报价明显低于其他通过符合性审查的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10.投标文件未按照招标文件要求加盖CA电子公章的。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11.投标人的商务技术部分得分相差悬殊，评标委员会一致认为得分畸低者有可能影响产品质量或者不能诚信履约的。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12.投标人在苏采云系统规定的时间内未成功解密电子投标文件的。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13.投标人未按照招标文件要求上传电子投标文件的，或上传的文件打不开的。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14.不同的投标人投标文件制作机器码、文件创建标识码一致的。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15.其他法律法规及本招标文件规定的属无效投标的情形</w:t>
      </w:r>
      <w:r>
        <w:rPr>
          <w:rFonts w:hint="eastAsia" w:ascii="宋体" w:hAnsi="宋体" w:eastAsia="宋体" w:cs="宋体"/>
          <w:color w:val="auto"/>
          <w:sz w:val="24"/>
          <w:szCs w:val="24"/>
          <w:highlight w:val="none"/>
        </w:rPr>
        <w:t xml:space="preserve">。</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八、</w:t>
      </w:r>
      <w:r>
        <w:rPr>
          <w:rFonts w:hint="eastAsia" w:ascii="宋体" w:hAnsi="宋体" w:eastAsia="宋体" w:cs="宋体"/>
          <w:b/>
          <w:bCs/>
          <w:color w:val="auto"/>
          <w:sz w:val="24"/>
          <w:szCs w:val="24"/>
          <w:highlight w:val="none"/>
        </w:rPr>
        <w:t xml:space="preserve">废标条款</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1.符合专业条件的供应商或者对招标文件做实质响应的供应商不足三家的。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3.因重大变故，采购任务取消的。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4.评标委员会认定招标文件存在歧义、重大缺陷导致评审工作无法进行。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5.因苏采云系统故障原因造成开标不成功的。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6.投标截止时间结束后参加投标的投标人不足三家的处理：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6.1如出现投标截止时间结束后参加投标的投标人或者在评标期间对招标文件做出实质响应的投标人不足三家情况，按政府采购相关规定执行。</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九、</w:t>
      </w:r>
      <w:r>
        <w:rPr>
          <w:rFonts w:hint="eastAsia" w:ascii="宋体" w:hAnsi="宋体" w:eastAsia="宋体" w:cs="宋体"/>
          <w:b/>
          <w:bCs/>
          <w:color w:val="auto"/>
          <w:sz w:val="24"/>
          <w:szCs w:val="24"/>
          <w:highlight w:val="none"/>
        </w:rPr>
        <w:t xml:space="preserve">定标</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1.确定中标人</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1.1中标候选人的选取原则和数量见招标文件第四章规定。</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1.2招标人应根据评委会推荐的中标候选人确定中标人。</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1.3代理机构将在“江苏政府采购网”发布中标结果公告，公告期限为1个工作日。</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1.4若有充分证据证明，中标人出现下列情况之一的，一经查实，将被取消中标资格：</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1.4.1提供虚假材料谋取中标的。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1.4.2向招标人或代理机构行贿或者评审专家提供其他不正当利益的。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1.4.3恶意竞争，报价明显低于其自身合理成本且又无法提供证明的。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1.4.4属于本文件规定的无效条件，但在评审过程中又未被评标委员会发现的。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1.4.5与评审专家、招标人、其他投标人或者代理机构工作人员恶意串通的。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1.4.6采取不正当手段诋毁、排挤其他投标人的。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1.4.7中标后无正当理由拒不与招标人签订政府采购合同或者未按照招标文件确定的事项签订政府采购合同的。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1.4.8将政府采购合同转包的。</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1.5.有下列情形之一的，视为投标人串通参与投标，投标无效：</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1.5.1不同投标人的投标文件由同一单位或者个人编制；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1.5.2不同投标人委托同一单位或者个人办理投标事宜；</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1.5.3不同投标人的投标文件载明的项目管理成员或者联系人员为同一人；</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1.5.4不同投标人的投标文件异常一致或者响应报价呈规律性差异；</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1.5.5不同投标人的投标文件相互混装。</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2.质疑处理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2.1提出质疑的投标人应当是参与所质疑项目采购活动的投标人。潜在投标人依法获取其可质疑的招标文件的，可以对招标文件提出质疑。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2.2投标人认为招标文件、采购过程和采购结果使自己的权益受到损害的，可以在知道或应知其权益受到损害之日起七个工作日内，以书面形式向招标人或代理机构提出质疑。上述应知其权益受到损害之日，是指：</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2.2.1对可以质疑的招标文件提出质疑的，为收到招标文件之日或者招标文件公告期限届满之日；</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2.2.2对采购过程提出质疑的，为各采购程序环节结束之日；</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2.2.3对中标结果提出质疑的，为中标结果公告期限届满之日。</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投标人应当在法定质疑期内一次性提出针对同一采购程序环节的质疑。投标人如在法定期限内对同一采购程序环节提出多次质疑的，招标人、代理机构将只对投标人第一次质疑作出答复。</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2.4质疑答复依据《政府采购质疑和投诉办法》（财政部令第94号）。</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招标人或代理机构质疑接收人及联系方式，见招标文件第一章。</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2.5以下情形的质疑不予受理</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2.5.1内容不符合《政府采购质疑和投诉办法》第十二条规定的质疑。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2.5.2超出政府采购法定期限的质疑。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2.5.3未参加投标活动的投标人或在投标活动中自身权益未受到损害的投标人所提出的质疑。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2.5.4投标人组成联合体参加投标，联合体中任何一方或多方未按要求签字、盖章、加盖公章的质疑。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投标人提出书面质疑必须有理、有据，不得捏造事实、提供虚假材料进行恶意质疑。否则，一经查实，招标人或代理机构有权依据政府采购的有关规定，报请政府采购监管部门对该投标人进行相应的行政处罚和记录该投标人的失信信息。</w:t>
      </w:r>
      <w:r/>
    </w:p>
    <w:p>
      <w:pPr>
        <w:contextualSpacing/>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2.7投诉提起路径：江苏政府采购网（南通市公共资源交易平台）—“办事指南”—“投诉办理指南”。</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十、</w:t>
      </w:r>
      <w:r>
        <w:rPr>
          <w:rFonts w:hint="eastAsia" w:ascii="宋体" w:hAnsi="宋体" w:eastAsia="宋体" w:cs="宋体"/>
          <w:b/>
          <w:bCs/>
          <w:color w:val="auto"/>
          <w:sz w:val="24"/>
          <w:szCs w:val="24"/>
          <w:highlight w:val="none"/>
        </w:rPr>
        <w:t xml:space="preserve">中标通知书</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结果确定后，招标人或者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特别说明：中标人在下载或收到中标通知书后须提供3套加盖公章的系统内打印的纸质投标文件交给代理机构存档。</w:t>
      </w:r>
      <w:r/>
    </w:p>
    <w:p>
      <w:pPr>
        <w:contextualSpacing/>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val="zh-CN"/>
        </w:rPr>
        <w:t xml:space="preserve">履约保证金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1.本项目中标后的履约保证金为</w:t>
      </w:r>
      <w:r>
        <w:rPr>
          <w:rFonts w:hint="eastAsia" w:ascii="宋体" w:hAnsi="宋体" w:eastAsia="宋体" w:cs="宋体"/>
          <w:b/>
          <w:bCs/>
          <w:color w:val="auto"/>
          <w:sz w:val="24"/>
          <w:szCs w:val="24"/>
          <w:highlight w:val="none"/>
          <w:u w:val="single"/>
        </w:rPr>
        <w:t xml:space="preserve">中标价*10%</w:t>
      </w:r>
      <w:r>
        <w:rPr>
          <w:rFonts w:hint="eastAsia" w:ascii="宋体" w:hAnsi="宋体" w:eastAsia="宋体" w:cs="宋体"/>
          <w:color w:val="auto"/>
          <w:sz w:val="24"/>
          <w:szCs w:val="24"/>
          <w:highlight w:val="none"/>
        </w:rPr>
        <w:t xml:space="preserve">，中标人可以选择以支票、汇票、本票、保单、保函等非现金形式缴纳。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2.中标人须凭“中标通知书”和“履约保证金”缴纳凭证，30日内与招标人签订合同。超期或未有协商，则视为自动放弃中标资格。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3.服务期满并按规定时间、规定要求完成交接后招标人将返还该履约保证金。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4.发生以下情况的，履约保证金不予退还或部分退还：</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（1）签订合同后，中标人不履行合同义务的，招标人有权全额扣除履约保证金，全额不予退还，同时招标人亦有权终止合同，中标人还须承担相应的法律赔偿责任。</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（2）中标人在履约过程中发生违约行为，给招标人造成损失的，招标人有权在中标人缴纳的履约保证金中予以扣款，以弥补招标人经济损失，不足的部分中标人另外补齐。</w:t>
      </w:r>
      <w:r/>
    </w:p>
    <w:p>
      <w:pPr>
        <w:contextualSpacing/>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以履约保函（保险）形式向招标人缴纳的，按《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十二、授予合同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1.签订合同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1.l中标人应当在中标通知书发出之日起三十日内，按照招标文件确定的事项与招标人签订政府采购合同。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1.2招标文件、中标人的投标文件及投标过程中有关澄清、承诺文件均应作为合同附件。</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1.3签订合同后，</w:t>
      </w:r>
      <w:r>
        <w:rPr>
          <w:rFonts w:hint="eastAsia" w:ascii="宋体" w:hAnsi="宋体" w:eastAsia="宋体" w:cs="宋体"/>
          <w:bCs/>
          <w:color w:val="auto"/>
          <w:sz w:val="24"/>
          <w:szCs w:val="24"/>
          <w:highlight w:val="none"/>
          <w:u w:val="single"/>
        </w:rPr>
        <w:t xml:space="preserve">中标人不得将合同标的进行转包</w:t>
      </w:r>
      <w:r>
        <w:rPr>
          <w:rFonts w:hint="eastAsia" w:ascii="宋体" w:hAnsi="宋体" w:eastAsia="宋体" w:cs="宋体"/>
          <w:bCs/>
          <w:color w:val="auto"/>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2.标的物的追加</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2.1政府采购合同履行中，招标人需追加与合同标的相同的货物、服务（包含与货物相关的服务及与服务相关的货物）的，如需追加采购,按《政府采购法》第四十九条执行。</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2.2采购结束后，招标人若由于各种客观原因，必须对采购项目所牵涉的货物和服务进行适当地减少时，在双方协商一致的前提下，可以按照招标采购时的价格水平做相应的调减，并据此签订补充合同。</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3.政府采购合同信用融资扶持政策</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关于深入开展南通市政府采购线上合同信用融资工作的通知》（通财购〔2022〕68号），对政府采购中标人提出“政采贷”融资申请的，招标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十三、电子招标投标交易平台</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"http://jszfcg.jsczt.cn/）相关要求是本招标文件的组成部分。" \o "http://jszfcg.jsczt.cn/）相关要求是本招标文件的组成部分。" </w:instrText>
      </w:r>
      <w:r>
        <w:rPr>
          <w:color w:val="auto"/>
          <w:highlight w:val="none"/>
        </w:rPr>
        <w:fldChar w:fldCharType="separate"/>
      </w:r>
      <w:r>
        <w:rPr>
          <w:rStyle w:val="1005"/>
          <w:rFonts w:hint="eastAsia" w:ascii="宋体" w:hAnsi="宋体" w:eastAsia="宋体" w:cs="宋体"/>
          <w:bCs/>
          <w:color w:val="auto"/>
          <w:sz w:val="24"/>
          <w:szCs w:val="24"/>
          <w:highlight w:val="none"/>
        </w:rPr>
        <w:t xml:space="preserve">http://jszfcg.jsczt.cn/）相关要求是本招标文件的组成部分。</w:t>
      </w:r>
      <w:r>
        <w:rPr>
          <w:rStyle w:val="1005"/>
          <w:rFonts w:hint="eastAsia" w:ascii="宋体" w:hAnsi="宋体" w:eastAsia="宋体" w:cs="宋体"/>
          <w:bCs/>
          <w:color w:val="auto"/>
          <w:sz w:val="24"/>
          <w:szCs w:val="24"/>
          <w:highlight w:val="none"/>
        </w:rPr>
        <w:fldChar w:fldCharType="end"/>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十四、未尽事宜</w:t>
      </w:r>
      <w:r/>
    </w:p>
    <w:p>
      <w:pPr>
        <w:contextualSpacing/>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按照《中华人民共和国政府采购法》及其他有关法律法规的规定执行。</w:t>
      </w:r>
      <w:bookmarkEnd w:id="8"/>
      <w:r/>
      <w:r/>
    </w:p>
    <w:p>
      <w:pPr>
        <w:pStyle w:val="917"/>
        <w:ind w:firstLine="480"/>
        <w:spacing w:line="360" w:lineRule="auto"/>
        <w:rPr>
          <w:rFonts w:ascii="宋体" w:hAnsi="宋体" w:eastAsia="宋体" w:cs="宋体"/>
          <w:color w:val="auto"/>
          <w:highlight w:val="none"/>
        </w:rPr>
        <w:sectPr>
          <w:headerReference w:type="default" r:id="rId11"/>
          <w:footnotePr/>
          <w:endnotePr/>
          <w:type w:val="nextPage"/>
          <w:pgSz w:w="11905" w:h="16838" w:orient="portrait"/>
          <w:pgMar w:top="1440" w:right="1519" w:bottom="1440" w:left="1519" w:header="850" w:footer="992" w:gutter="0"/>
          <w:cols w:num="1" w:sep="0" w:space="1701" w:equalWidth="1"/>
          <w:docGrid w:linePitch="360"/>
        </w:sectPr>
      </w:pPr>
      <w:r>
        <w:rPr>
          <w:rFonts w:ascii="宋体" w:hAnsi="宋体" w:eastAsia="宋体" w:cs="宋体"/>
          <w:color w:val="auto"/>
          <w:highlight w:val="none"/>
        </w:rPr>
      </w:r>
      <w:r/>
    </w:p>
    <w:p>
      <w:pPr>
        <w:jc w:val="center"/>
        <w:spacing w:line="360" w:lineRule="auto"/>
        <w:tabs>
          <w:tab w:val="left" w:pos="1050" w:leader="none"/>
          <w:tab w:val="right" w:pos="9402" w:leader="dot"/>
        </w:tabs>
        <w:rPr>
          <w:rFonts w:ascii="宋体" w:hAnsi="宋体" w:eastAsia="宋体" w:cs="宋体"/>
          <w:b/>
          <w:color w:val="auto"/>
          <w:sz w:val="36"/>
          <w:szCs w:val="36"/>
          <w:highlight w:val="none"/>
        </w:rPr>
        <w:outlineLvl w:val="0"/>
      </w:pPr>
      <w:r/>
      <w:bookmarkStart w:id="9" w:name="_Toc13543213"/>
      <w:r>
        <w:rPr>
          <w:rFonts w:hint="eastAsia" w:ascii="宋体" w:hAnsi="宋体" w:eastAsia="宋体" w:cs="宋体"/>
          <w:b/>
          <w:color w:val="auto"/>
          <w:sz w:val="36"/>
          <w:szCs w:val="36"/>
          <w:highlight w:val="none"/>
        </w:rPr>
        <w:t xml:space="preserve">第三章 项目需求</w:t>
      </w:r>
      <w:r/>
    </w:p>
    <w:p>
      <w:pPr>
        <w:pStyle w:val="1214"/>
        <w:ind w:firstLine="482"/>
        <w:spacing w:line="480" w:lineRule="exact"/>
        <w:rPr>
          <w:rFonts w:ascii="宋体" w:eastAsia="宋体" w:cs="宋体"/>
          <w:color w:val="auto"/>
          <w:sz w:val="24"/>
          <w:szCs w:val="24"/>
          <w:highlight w:val="none"/>
        </w:rPr>
      </w:pPr>
      <w:r/>
      <w:bookmarkStart w:id="10" w:name="_Toc182848996"/>
      <w:r>
        <w:rPr>
          <w:rFonts w:hint="eastAsia" w:ascii="宋体" w:eastAsia="宋体" w:cs="宋体"/>
          <w:b/>
          <w:color w:val="auto"/>
          <w:sz w:val="24"/>
          <w:szCs w:val="24"/>
          <w:highlight w:val="none"/>
          <w:lang w:val="zh-CN"/>
        </w:rPr>
        <w:t xml:space="preserve">请供应商在制作响应文件时仔细研究项目需求说明。</w:t>
      </w:r>
      <w:r>
        <w:rPr>
          <w:rFonts w:hint="eastAsia" w:ascii="宋体" w:eastAsia="宋体" w:cs="宋体"/>
          <w:color w:val="auto"/>
          <w:sz w:val="24"/>
          <w:szCs w:val="24"/>
          <w:highlight w:val="none"/>
          <w:lang w:val="zh-CN"/>
        </w:rPr>
        <w:t xml:space="preserve">投标人不能简单照搬照抄招标人项目需求说明中的技术、商务要求，必须作实事求是地响应。如照搬照抄项目需求说明中的技术、商务要求的，中标后中标人在同招标人签订合同和履约环节中不得提出异议，一切后果和损失由中标人承担。如投标人提供的货物和服务同招标人提出的项目需求说明中的技术、商务要求不同的，必须在《商</w:t>
      </w:r>
      <w:r>
        <w:rPr>
          <w:rFonts w:hint="eastAsia" w:ascii="宋体" w:eastAsia="宋体" w:cs="宋体"/>
          <w:color w:val="auto"/>
          <w:sz w:val="24"/>
          <w:szCs w:val="24"/>
          <w:highlight w:val="none"/>
        </w:rPr>
        <w:t xml:space="preserve">务部分正负偏离表》和《技术部分正负偏离表》上明示，如不明示的视同完全响应</w:t>
      </w:r>
      <w:r>
        <w:rPr>
          <w:rFonts w:hint="eastAsia" w:ascii="宋体" w:eastAsia="宋体" w:cs="宋体"/>
          <w:color w:val="auto"/>
          <w:sz w:val="24"/>
          <w:szCs w:val="24"/>
          <w:highlight w:val="none"/>
          <w:lang w:val="zh-CN"/>
        </w:rPr>
        <w:t xml:space="preserve">。</w:t>
      </w:r>
      <w:r/>
    </w:p>
    <w:p>
      <w:pPr>
        <w:spacing w:line="44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 </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原南通新广生化工有限公司地块（以下简称“新广生地块”）位于江苏省南通市崇川区天生港镇街道</w:t>
      </w:r>
      <w:r>
        <w:rPr>
          <w:rFonts w:hint="eastAsia" w:ascii="宋体" w:hAnsi="宋体" w:eastAsia="宋体" w:cs="宋体"/>
          <w:color w:val="auto"/>
          <w:sz w:val="24"/>
          <w:szCs w:val="24"/>
          <w:highlight w:val="none"/>
        </w:rPr>
        <w:t xml:space="preserve">国庆村，地块东至深南路、南至港闸路、西至兴港路、北至国庆村居民和农田区域，地块面积为40647m2（约61亩）。新广生地块历史上主要为新广生化工工业用地，目前地块内各类生产设备、构筑物均已拆除，四周均已建立围挡，部分区域种植着农作物。根据南通市崇川区控制性详细规划（闸西单元）和《崇川区闸西单元C1-2、C2-3等地块控制性详细规划调整》，地块规划为商业商务混合用地和公园绿地（非社区公园或儿童公园用地），均属于《土壤环境质量建设用地土壤污染风险管控标准（试行）》（GB36600-2018）中规定的第二类用地。</w:t>
      </w:r>
      <w:r/>
    </w:p>
    <w:p>
      <w:pPr>
        <w:ind w:firstLine="480"/>
        <w:jc w:val="left"/>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查结果表明：本地块土壤中苯和1,2,3-三氯丙烷超标，最大超标深度为6m；地下水中15项感官性状及一般化学指标超标，分别为pH值、浊度、耗氧量、色度、溶解性固体、总硬度、挥发酚、氨氮、氯化物、硫化物、硫酸盐、锰、铁、铝、钠；8项毒理学指标超标，分别为氟化物、碘化物、砷、苯、甲苯、1,2-二氯乙烷、苯胺和石油烃（C10~C40）深度为潜水层顶部至潜水层中上部（最大超标深度为12m）。在第二类用地情景下，（1）本地块土壤关注污染物苯和1,2,3-三氯丙烷的健康风险不可接受；地下水不</w:t>
      </w:r>
      <w:r>
        <w:rPr>
          <w:rFonts w:hint="eastAsia" w:ascii="宋体" w:hAnsi="宋体" w:eastAsia="宋体" w:cs="宋体"/>
          <w:color w:val="auto"/>
          <w:sz w:val="24"/>
          <w:szCs w:val="24"/>
          <w:highlight w:val="none"/>
        </w:rPr>
        <w:t xml:space="preserve">考虑饮用地下水的暴露途径下，地下水中苯的健康风险不可接受，地下水中其余关注污染物砷、1,2-二氯乙烷、苯胺、甲苯和石油烃（C10~C40）风险可接受。（2）本地块土壤中苯和1, 2, 3-三氯丙烷修复目标值分别为4mg/kg、0.5mg/kg；地下水中苯修复目标值为4.31mg/L。（3）本地块土壤风险不可接受区域总面积为2897 m2，风险不可接受最大深度为7m，土方量为18008m3；地下水风险不可接受区域面积为2865m2，风险不可接受最大深度最大为12m，地下水风险不可接受方量约13851.1m3。</w: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0</wp:posOffset>
                </wp:positionH>
                <wp:positionV relativeFrom="paragraph">
                  <wp:posOffset>441960</wp:posOffset>
                </wp:positionV>
                <wp:extent cx="4822190" cy="3399790"/>
                <wp:effectExtent l="0" t="0" r="8890" b="13970"/>
                <wp:wrapTopAndBottom/>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803298" name="图片 6"/>
                        <pic:cNvPicPr>
                          <a:picLocks noChangeAspect="1"/>
                        </pic:cNvPicPr>
                        <pic:nvPr/>
                      </pic:nvPicPr>
                      <pic:blipFill>
                        <a:blip r:embed="rId21"/>
                        <a:stretch/>
                      </pic:blipFill>
                      <pic:spPr bwMode="auto">
                        <a:xfrm>
                          <a:off x="0" y="0"/>
                          <a:ext cx="4827268" cy="3403381"/>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34.8pt;mso-position-vertical:absolute;width:379.7pt;height:267.7pt;mso-wrap-distance-left:0.0pt;mso-wrap-distance-top:0.0pt;mso-wrap-distance-right:0.0pt;mso-wrap-distance-bottom:0.0pt;" stroked="f">
                <v:path textboxrect="0,0,0,0"/>
                <w10:wrap type="topAndBottom"/>
                <v:imagedata r:id="rId21" o:title=""/>
              </v:shape>
            </w:pict>
          </mc:Fallback>
        </mc:AlternateContent>
      </w:r>
      <w:r/>
    </w:p>
    <w:p>
      <w:pPr>
        <w:ind w:firstLine="522"/>
        <w:jc w:val="center"/>
        <w:spacing w:line="50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图1-1 原南通新广生化工有限公司地块地理位置图</w:t>
      </w:r>
      <w:r/>
    </w:p>
    <w:p>
      <w:pPr>
        <w:numPr>
          <w:ilvl w:val="0"/>
          <w:numId w:val="3"/>
        </w:numPr>
        <w:jc w:val="left"/>
        <w:spacing w:line="44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采购标的需执行的国家相关标准、行业标准、地方标准或者其他标准、规范</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土壤污染防治法》《污染地块地下水修复和风险管控技术导则》《土壤污染源头防控行动计划》《关于加强建设用地土壤污染防治有关重点工作的通知》（2022年）》《优先监管地块土壤污染管控工作指南（试行）》《土壤环境质量建设用地土壤污染风险管控标准（试行）》（GB36600-2018）等有关法律法规、导则规范要求。</w:t>
      </w:r>
      <w:r/>
    </w:p>
    <w:p>
      <w:pPr>
        <w:spacing w:line="44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三、本项目需满足的质量、安全、技术规格、物理特性等要求</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（1）针对地块存在环境问题的污染土壤及地下水，编制地块土壤和地下水垂向阻隔工程实施方案、污染源消减方案，以支撑风险管控工程施工；</w:t>
      </w:r>
      <w:r/>
    </w:p>
    <w:p>
      <w:pPr>
        <w:ind w:firstLine="562"/>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四周垂直阻隔屏障对本项目污染土壤和地下水进行风险管控，针对垂直阻隔屏障外超风险土壤区域和苯超标的地下水区域，采用微生物强化衰减技术，加速污染物降解衰减，提高自然衰减能力；并结合长期监测，评估阻隔效果，确保地块内污染不对周边用地产生环境污染迁移隐患。</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（3）中标供应商在相关管控工作开展期间，应严格落实污染防控主体责任，采取切实有效的防护及处置措施，全面防范、杜绝管控过程中产生二次污染问题。</w:t>
      </w:r>
      <w:r/>
    </w:p>
    <w:p>
      <w:pPr>
        <w:ind w:firstLine="562"/>
        <w:spacing w:line="440" w:lineRule="exact"/>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合格，符合技术方案要求，通过效果评估，保证工程质量和效果。</w:t>
      </w:r>
      <w:r/>
    </w:p>
    <w:p>
      <w:pPr>
        <w:spacing w:line="460" w:lineRule="exact"/>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四、采购标的的数量、采购项目交付或者实施的时间和地点；</w:t>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1、采购标的数量：</w:t>
      </w:r>
      <w:r/>
    </w:p>
    <w:tbl>
      <w:tblPr>
        <w:tblStyle w:val="793"/>
        <w:tblW w:w="90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238"/>
        <w:gridCol w:w="1350"/>
        <w:gridCol w:w="3860"/>
        <w:gridCol w:w="2635"/>
      </w:tblGrid>
      <w:tr>
        <w:trPr>
          <w:jc w:val="center"/>
          <w:tblHeader/>
        </w:trPr>
        <w:tc>
          <w:tcPr>
            <w:tcMar>
              <w:left w:w="120" w:type="dxa"/>
              <w:top w:w="60" w:type="dxa"/>
              <w:right w:w="120" w:type="dxa"/>
              <w:bottom w:w="30" w:type="dxa"/>
            </w:tcMar>
            <w:tcW w:w="1238" w:type="dxa"/>
            <w:vAlign w:val="center"/>
            <w:textDirection w:val="lrTb"/>
            <w:noWrap w:val="false"/>
          </w:tcPr>
          <w:p>
            <w:pPr>
              <w:jc w:val="center"/>
              <w:spacing w:before="120" w:after="120"/>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小类</w:t>
            </w:r>
            <w:r/>
          </w:p>
        </w:tc>
        <w:tc>
          <w:tcPr>
            <w:tcMar>
              <w:left w:w="120" w:type="dxa"/>
              <w:top w:w="60" w:type="dxa"/>
              <w:right w:w="120" w:type="dxa"/>
              <w:bottom w:w="30" w:type="dxa"/>
            </w:tcMar>
            <w:tcW w:w="1350" w:type="dxa"/>
            <w:vAlign w:val="center"/>
            <w:textDirection w:val="lrTb"/>
            <w:noWrap w:val="false"/>
          </w:tcPr>
          <w:p>
            <w:pPr>
              <w:jc w:val="center"/>
              <w:spacing w:before="120" w:after="120"/>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项目</w:t>
            </w:r>
            <w:r/>
          </w:p>
        </w:tc>
        <w:tc>
          <w:tcPr>
            <w:tcMar>
              <w:left w:w="120" w:type="dxa"/>
              <w:top w:w="60" w:type="dxa"/>
              <w:right w:w="120" w:type="dxa"/>
              <w:bottom w:w="30" w:type="dxa"/>
            </w:tcMar>
            <w:tcW w:w="3860" w:type="dxa"/>
            <w:vAlign w:val="center"/>
            <w:textDirection w:val="lrTb"/>
            <w:noWrap w:val="false"/>
          </w:tcPr>
          <w:p>
            <w:pPr>
              <w:jc w:val="center"/>
              <w:spacing w:before="120" w:after="120"/>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基本要求</w:t>
            </w:r>
            <w:r/>
          </w:p>
        </w:tc>
        <w:tc>
          <w:tcPr>
            <w:tcMar>
              <w:left w:w="120" w:type="dxa"/>
              <w:top w:w="60" w:type="dxa"/>
              <w:right w:w="120" w:type="dxa"/>
              <w:bottom w:w="30" w:type="dxa"/>
            </w:tcMar>
            <w:tcW w:w="2635" w:type="dxa"/>
            <w:vAlign w:val="center"/>
            <w:textDirection w:val="lrTb"/>
            <w:noWrap w:val="false"/>
          </w:tcPr>
          <w:p>
            <w:pPr>
              <w:jc w:val="center"/>
              <w:spacing w:before="120" w:after="120"/>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备注</w:t>
            </w:r>
            <w:r/>
          </w:p>
        </w:tc>
      </w:tr>
      <w:tr>
        <w:trPr>
          <w:jc w:val="center"/>
        </w:trPr>
        <w:tc>
          <w:tcPr>
            <w:tcMar>
              <w:left w:w="120" w:type="dxa"/>
              <w:top w:w="60" w:type="dxa"/>
              <w:right w:w="120" w:type="dxa"/>
              <w:bottom w:w="30" w:type="dxa"/>
            </w:tcMar>
            <w:tcW w:w="1238"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制度控制</w:t>
            </w:r>
            <w:r/>
          </w:p>
        </w:tc>
        <w:tc>
          <w:tcPr>
            <w:tcMar>
              <w:left w:w="120" w:type="dxa"/>
              <w:top w:w="60" w:type="dxa"/>
              <w:right w:w="120" w:type="dxa"/>
              <w:bottom w:w="30" w:type="dxa"/>
            </w:tcMar>
            <w:tcW w:w="1350"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围墙建设维护、安保</w:t>
            </w:r>
            <w:r/>
          </w:p>
        </w:tc>
        <w:tc>
          <w:tcPr>
            <w:tcMar>
              <w:left w:w="120" w:type="dxa"/>
              <w:top w:w="60" w:type="dxa"/>
              <w:right w:w="120" w:type="dxa"/>
              <w:bottom w:w="30" w:type="dxa"/>
            </w:tcMar>
            <w:tcW w:w="3860"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用彩钢板对四周围墙破损缺失部位进行加固和维修（约</w:t>
            </w:r>
            <w:r>
              <w:rPr>
                <w:rFonts w:ascii="宋体" w:hAnsi="宋体" w:eastAsia="宋体" w:cs="宋体"/>
                <w:color w:val="auto"/>
                <w:sz w:val="22"/>
                <w:szCs w:val="22"/>
                <w:highlight w:val="none"/>
              </w:rPr>
              <w:t xml:space="preserve">60m</w:t>
            </w:r>
            <w:r>
              <w:rPr>
                <w:rFonts w:hint="eastAsia" w:ascii="宋体" w:hAnsi="宋体" w:eastAsia="宋体" w:cs="宋体"/>
                <w:color w:val="auto"/>
                <w:sz w:val="22"/>
                <w:szCs w:val="22"/>
                <w:highlight w:val="none"/>
              </w:rPr>
              <w:t xml:space="preserve">长、</w:t>
            </w:r>
            <w:r>
              <w:rPr>
                <w:rFonts w:ascii="宋体" w:hAnsi="宋体" w:eastAsia="宋体" w:cs="宋体"/>
                <w:color w:val="auto"/>
                <w:sz w:val="22"/>
                <w:szCs w:val="22"/>
                <w:highlight w:val="none"/>
              </w:rPr>
              <w:t xml:space="preserve">2m</w:t>
            </w:r>
            <w:r>
              <w:rPr>
                <w:rFonts w:hint="eastAsia" w:ascii="宋体" w:hAnsi="宋体" w:eastAsia="宋体" w:cs="宋体"/>
                <w:color w:val="auto"/>
                <w:sz w:val="22"/>
                <w:szCs w:val="22"/>
                <w:highlight w:val="none"/>
              </w:rPr>
              <w:t xml:space="preserve">高）</w:t>
            </w:r>
            <w:r/>
          </w:p>
        </w:tc>
        <w:tc>
          <w:tcPr>
            <w:tcMar>
              <w:left w:w="120" w:type="dxa"/>
              <w:top w:w="60" w:type="dxa"/>
              <w:right w:w="120" w:type="dxa"/>
              <w:bottom w:w="30" w:type="dxa"/>
            </w:tcMar>
            <w:tcW w:w="263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Pr>
        <w:tc>
          <w:tcPr>
            <w:tcMar>
              <w:left w:w="120" w:type="dxa"/>
              <w:top w:w="60" w:type="dxa"/>
              <w:right w:w="120" w:type="dxa"/>
              <w:bottom w:w="30" w:type="dxa"/>
            </w:tcMar>
            <w:tcW w:w="1238"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污染土壤和地下水风险管控</w:t>
            </w:r>
            <w:r/>
          </w:p>
        </w:tc>
        <w:tc>
          <w:tcPr>
            <w:tcMar>
              <w:left w:w="120" w:type="dxa"/>
              <w:top w:w="60" w:type="dxa"/>
              <w:right w:w="120" w:type="dxa"/>
              <w:bottom w:w="30" w:type="dxa"/>
            </w:tcMar>
            <w:tcW w:w="1350"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垂直阻隔</w:t>
            </w:r>
            <w:r/>
          </w:p>
        </w:tc>
        <w:tc>
          <w:tcPr>
            <w:tcMar>
              <w:left w:w="120" w:type="dxa"/>
              <w:top w:w="60" w:type="dxa"/>
              <w:right w:w="120" w:type="dxa"/>
              <w:bottom w:w="30" w:type="dxa"/>
            </w:tcMar>
            <w:tcW w:w="3860"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周长342m、深度约36.5m，阻隔墙厚度0.8m</w:t>
            </w:r>
            <w:r/>
          </w:p>
        </w:tc>
        <w:tc>
          <w:tcPr>
            <w:tcMar>
              <w:left w:w="120" w:type="dxa"/>
              <w:top w:w="60" w:type="dxa"/>
              <w:right w:w="120" w:type="dxa"/>
              <w:bottom w:w="30" w:type="dxa"/>
            </w:tcMar>
            <w:tcW w:w="263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含施工单位需开展的水文地质补充勘察、阻隔墙效果自检等工作经费</w:t>
            </w:r>
            <w:r/>
          </w:p>
        </w:tc>
      </w:tr>
      <w:tr>
        <w:trPr>
          <w:jc w:val="center"/>
        </w:trPr>
        <w:tc>
          <w:tcPr>
            <w:tcMar>
              <w:left w:w="120" w:type="dxa"/>
              <w:top w:w="60" w:type="dxa"/>
              <w:right w:w="120" w:type="dxa"/>
              <w:bottom w:w="30" w:type="dxa"/>
            </w:tcMar>
            <w:tcW w:w="1238"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微生物衰减削减</w:t>
            </w:r>
            <w:r/>
          </w:p>
        </w:tc>
        <w:tc>
          <w:tcPr>
            <w:tcMar>
              <w:left w:w="120" w:type="dxa"/>
              <w:top w:w="60" w:type="dxa"/>
              <w:right w:w="120" w:type="dxa"/>
              <w:bottom w:w="30" w:type="dxa"/>
            </w:tcMar>
            <w:tcW w:w="1350"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微生物衰减措施</w:t>
            </w:r>
            <w:r/>
          </w:p>
        </w:tc>
        <w:tc>
          <w:tcPr>
            <w:tcMar>
              <w:left w:w="120" w:type="dxa"/>
              <w:top w:w="60" w:type="dxa"/>
              <w:right w:w="120" w:type="dxa"/>
              <w:bottom w:w="30" w:type="dxa"/>
            </w:tcMar>
            <w:tcW w:w="3860"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针对超风险污染土壤和地下水区域，采用微生物强化衰减技术，加速土壤和地下水中修复目标污染物浓度降解30%；污染土壤面积约1696㎡，修复深度为5m；污染地下水面积约727㎡，修复深度为6m，总修复量预计12842m³</w:t>
            </w:r>
            <w:r/>
          </w:p>
        </w:tc>
        <w:tc>
          <w:tcPr>
            <w:tcMar>
              <w:left w:w="120" w:type="dxa"/>
              <w:top w:w="60" w:type="dxa"/>
              <w:right w:w="120" w:type="dxa"/>
              <w:bottom w:w="30" w:type="dxa"/>
            </w:tcMar>
            <w:tcW w:w="263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1220"/>
        </w:trPr>
        <w:tc>
          <w:tcPr>
            <w:tcMar>
              <w:left w:w="120" w:type="dxa"/>
              <w:top w:w="60" w:type="dxa"/>
              <w:right w:w="120" w:type="dxa"/>
              <w:bottom w:w="30" w:type="dxa"/>
            </w:tcMar>
            <w:tcW w:w="1238"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钻探和检测费</w:t>
            </w:r>
            <w:r/>
          </w:p>
        </w:tc>
        <w:tc>
          <w:tcPr>
            <w:tcMar>
              <w:left w:w="120" w:type="dxa"/>
              <w:top w:w="60" w:type="dxa"/>
              <w:right w:w="120" w:type="dxa"/>
              <w:bottom w:w="30" w:type="dxa"/>
            </w:tcMar>
            <w:tcW w:w="1350"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地下水、环境空气、土壤等采样检测费用</w:t>
            </w:r>
            <w:r/>
          </w:p>
        </w:tc>
        <w:tc>
          <w:tcPr>
            <w:tcMar>
              <w:left w:w="120" w:type="dxa"/>
              <w:top w:w="60" w:type="dxa"/>
              <w:right w:w="120" w:type="dxa"/>
              <w:bottom w:w="30" w:type="dxa"/>
            </w:tcMar>
            <w:tcW w:w="3860"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钻探预计230m ，按照《污染地块风险管控与土壤修复效果评估技术导则（试行）》（HJ 25.5—2018）、污染地块地下水修复和风险管控技术导则（HJ 25.6—2019）等国家规范要求采样，出具报告。</w:t>
            </w:r>
            <w:r/>
          </w:p>
        </w:tc>
        <w:tc>
          <w:tcPr>
            <w:tcMar>
              <w:left w:w="120" w:type="dxa"/>
              <w:top w:w="60" w:type="dxa"/>
              <w:right w:w="120" w:type="dxa"/>
              <w:bottom w:w="30" w:type="dxa"/>
            </w:tcMar>
            <w:tcW w:w="2635"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bl>
    <w:p>
      <w:pPr>
        <w:numPr>
          <w:ilvl w:val="255"/>
          <w:numId w:val="0"/>
        </w:num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以上仅为本项目风险管控最低基本需求，请各投标人结合采购人提供的项目需求、相关附件说明等自行认真现场查勘，如有缺项漏项投标单位自行补充完善，一旦中标，中标单位不得以任何理由增加成本，采购人不再向中标单位支付任何额外费用。</w:t>
      </w:r>
      <w:r/>
    </w:p>
    <w:p>
      <w:pPr>
        <w:numPr>
          <w:ilvl w:val="0"/>
          <w:numId w:val="4"/>
        </w:num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采购项目交付：自本项目</w:t>
      </w:r>
      <w:r>
        <w:rPr>
          <w:rFonts w:hint="eastAsia" w:ascii="宋体" w:hAnsi="宋体" w:eastAsia="宋体" w:cs="宋体"/>
          <w:color w:val="auto"/>
          <w:sz w:val="24"/>
          <w:szCs w:val="24"/>
          <w:highlight w:val="none"/>
          <w:lang w:val="en-US" w:eastAsia="zh-CN"/>
        </w:rPr>
        <w:t xml:space="preserve">启动</w:t>
      </w:r>
      <w:r>
        <w:rPr>
          <w:rFonts w:hint="eastAsia" w:ascii="宋体" w:hAnsi="宋体" w:eastAsia="宋体" w:cs="宋体"/>
          <w:color w:val="auto"/>
          <w:sz w:val="24"/>
          <w:szCs w:val="24"/>
          <w:highlight w:val="none"/>
        </w:rPr>
        <w:t xml:space="preserve">之日起，至效果评估通过生态环境主管部门组织或参与的专家评审（其中</w:t>
      </w:r>
      <w:r>
        <w:rPr>
          <w:rFonts w:hint="eastAsia" w:ascii="宋体" w:hAnsi="宋体" w:eastAsia="宋体" w:cs="宋体"/>
          <w:color w:val="auto"/>
          <w:sz w:val="24"/>
          <w:szCs w:val="24"/>
          <w:highlight w:val="none"/>
          <w:lang w:val="en-US" w:eastAsia="zh-CN"/>
        </w:rPr>
        <w:t xml:space="preserve">启动</w:t>
      </w:r>
      <w:r>
        <w:rPr>
          <w:rFonts w:hint="eastAsia" w:ascii="宋体" w:hAnsi="宋体" w:eastAsia="宋体" w:cs="宋体"/>
          <w:color w:val="auto"/>
          <w:sz w:val="24"/>
          <w:szCs w:val="24"/>
          <w:highlight w:val="none"/>
        </w:rPr>
        <w:t xml:space="preserve">日期以委托人要求为准，管控工期为180 日历天），须完成场地围挡、TRD 工法阻隔墙施工、微生物衰减作业等全部管控范围内工作内容）。。</w:t>
      </w:r>
      <w:r/>
    </w:p>
    <w:p>
      <w:pPr>
        <w:numPr>
          <w:ilvl w:val="0"/>
          <w:numId w:val="4"/>
        </w:num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项目实施地点：采购人指定地点</w:t>
      </w:r>
      <w:r/>
    </w:p>
    <w:p>
      <w:pPr>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该地块目前规划用途为商业商务混合用地和公园绿地，结合场地调查与风险评估结果，考虑到场地高风险污染物有氯代烃、苯系物等，整个场区大部分区域土壤采样时有异味，且该地块周边500m范围内存在多个居民区，考虑基于第二类用地方式下（土壤不裸露）的风险管控方案，实施以防止污染扩散为目的的风险管控工程。</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2、垂直阻隔要求：</w:t>
      </w:r>
      <w:r>
        <w:rPr>
          <w:rFonts w:hint="eastAsia" w:ascii="宋体" w:hAnsi="宋体" w:eastAsia="宋体" w:cs="宋体"/>
          <w:color w:val="auto"/>
          <w:sz w:val="24"/>
          <w:szCs w:val="24"/>
          <w:highlight w:val="none"/>
        </w:rPr>
        <w:t xml:space="preserve">选择TRD工法，采用垂直防渗阻隔屏障对地块污染实施立体阻隔，切断地块内地下水污染向周边环境扩散迁移途径，阻断污染物与人体接触的暴露途径，有效管控地块污染人体健康和环境风险，土壤管控面积为2897 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，土壤管控最大深度为7 m，地下水管控面积为13851.1 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，地下水管控深度为12 m。垂直阻隔周长342 m，建议阻隔到第四层粉质黏土夹粉土层，深度约36.5 m（嵌入相对不透水层0.9 m以上）。建设垂直阻隔屏障，阻断地下水污染向地块红线外迁移扩散，垂直阻隔屏障应连续、耐腐蚀、具备足够防渗性能，渗透系数值不高于1×10</w:t>
      </w:r>
      <w:r>
        <w:rPr>
          <w:rFonts w:hint="eastAsia" w:ascii="宋体" w:hAnsi="宋体" w:eastAsia="宋体" w:cs="宋体"/>
          <w:color w:val="auto"/>
          <w:sz w:val="24"/>
          <w:szCs w:val="24"/>
          <w:highlight w:val="none"/>
          <w:vertAlign w:val="superscript"/>
        </w:rPr>
        <w:t xml:space="preserve">-6</w:t>
      </w:r>
      <w:r>
        <w:rPr>
          <w:rFonts w:hint="eastAsia" w:ascii="宋体" w:hAnsi="宋体" w:eastAsia="宋体" w:cs="宋体"/>
          <w:color w:val="auto"/>
          <w:sz w:val="24"/>
          <w:szCs w:val="24"/>
          <w:highlight w:val="none"/>
        </w:rPr>
        <w:t xml:space="preserve"> cm/s。垂直阻隔屏障建设完成后，开展垂直阻隔墙内外地下水环境状况长期监测，地块外地下水环境状况（超风险污染物浓度）应保持持续稳定或下降趋势。垂直阻隔施工质量检查：1）屏障厚度不小于750mm；2）屏障深度进入隔水层不小于0.9m；3）屏障完整性满足《工业污染场地竖向阻隔技术规范》（HGT20715-2020）的良好标准。4）垂直阻隔墙体抽检，应满足本地块污染地下水作用下的渗透系数值不高于10</w:t>
      </w:r>
      <w:r>
        <w:rPr>
          <w:rFonts w:hint="eastAsia" w:ascii="宋体" w:hAnsi="宋体" w:eastAsia="宋体" w:cs="宋体"/>
          <w:color w:val="auto"/>
          <w:sz w:val="24"/>
          <w:szCs w:val="24"/>
          <w:highlight w:val="none"/>
          <w:vertAlign w:val="superscript"/>
        </w:rPr>
        <w:t xml:space="preserve">-6</w:t>
      </w:r>
      <w:r>
        <w:rPr>
          <w:rFonts w:hint="eastAsia" w:ascii="宋体" w:hAnsi="宋体" w:eastAsia="宋体" w:cs="宋体"/>
          <w:color w:val="auto"/>
          <w:sz w:val="24"/>
          <w:szCs w:val="24"/>
          <w:highlight w:val="none"/>
        </w:rPr>
        <w:t xml:space="preserve">cm/s。</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微生物强化衰减技术要求：</w:t>
      </w:r>
      <w:r>
        <w:rPr>
          <w:rFonts w:hint="eastAsia" w:ascii="宋体" w:hAnsi="宋体" w:eastAsia="宋体" w:cs="宋体"/>
          <w:color w:val="auto"/>
          <w:sz w:val="24"/>
          <w:szCs w:val="24"/>
          <w:highlight w:val="none"/>
        </w:rPr>
        <w:t xml:space="preserve">应用于垂直阻隔屏障外超风险土壤区域和苯超标的地下水区域，加速污染物降解衰减，提高自然衰减能力。针对垂直阻隔屏障外土壤超风险区域和地下水苯超标区域，采用微生物强化衰减技术，加速土壤和地下水中修复目标污染物浓度降解衰减30%。注入井按照5m×5m密度布设，共计106口。</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满足工程技术规范及相关检验标准（详见技术方案），通过效果评估。</w:t>
      </w:r>
      <w:r/>
    </w:p>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中涉及隐蔽部分的需留存影像视频资料以供后结算审计使用，在送审结算资料时一并提交。所有资料必须附有详细影像资料（彩色照片），所有影像资料必须有可参照性。如影像资料未能反映清单内容或招标文件列明的工作内容，则结算时该项内容将可能不予认可。</w:t>
      </w:r>
      <w:r/>
    </w:p>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本项目污染土壤及地下水风险管控工作的质量保修期均为1年，质量保修期自项目全部完成</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且</w:t>
      </w:r>
      <w:r>
        <w:rPr>
          <w:rFonts w:hint="eastAsia" w:ascii="宋体" w:hAnsi="宋体" w:eastAsia="宋体" w:cs="宋体"/>
          <w:color w:val="auto"/>
          <w:sz w:val="24"/>
          <w:szCs w:val="24"/>
          <w:highlight w:val="none"/>
        </w:rPr>
        <w:t xml:space="preserve">效果评估通过生态环境主管部门组织或参与的专家评审</w:t>
      </w:r>
      <w:r>
        <w:rPr>
          <w:rFonts w:hint="eastAsia" w:ascii="宋体" w:hAnsi="宋体" w:eastAsia="宋体" w:cs="宋体"/>
          <w:b/>
          <w:bCs/>
          <w:color w:val="auto"/>
          <w:sz w:val="24"/>
          <w:szCs w:val="24"/>
          <w:highlight w:val="none"/>
        </w:rPr>
        <w:t xml:space="preserve">之日起计算。</w:t>
      </w:r>
      <w:r/>
    </w:p>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3、人员配置要求</w:t>
      </w:r>
      <w:r/>
    </w:p>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投标供应商须提供相关服务人员不少于8名，其中包括项目负责人1名（服务期间项目负责人须保证每月出勤不少于 22天，且每天在现场不少于 8 小时），项目团队成员至少</w:t>
      </w:r>
      <w:r>
        <w:rPr>
          <w:rFonts w:ascii="宋体" w:hAnsi="宋体" w:eastAsia="宋体" w:cs="宋体"/>
          <w:b/>
          <w:bCs/>
          <w:color w:val="auto"/>
          <w:sz w:val="24"/>
          <w:szCs w:val="24"/>
          <w:highlight w:val="none"/>
        </w:rPr>
        <w:t xml:space="preserve">7名。</w:t>
      </w:r>
      <w:r>
        <w:rPr>
          <w:rFonts w:hint="eastAsia" w:ascii="宋体" w:hAnsi="宋体" w:eastAsia="宋体" w:cs="宋体"/>
          <w:b/>
          <w:bCs/>
          <w:color w:val="auto"/>
          <w:sz w:val="24"/>
          <w:szCs w:val="24"/>
          <w:highlight w:val="none"/>
        </w:rPr>
        <w:t xml:space="preserve">其中项目负责人须具备一定的工作经验和较高的专业水平等。</w:t>
      </w:r>
      <w:r/>
    </w:p>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明：本项目实际到岗人员须与投标文件所列人员完全一致，中标供应商不得擅自更换。确需更换的，应事先以书面形式向采购人提出申请，经采购人书面同意后方可实施。项目履约期间，若采购人认定项目组成员不能胜任岗位工作要求，中标供应商须无条件予以更换，且更换后的人员资质不得低于原投标文件承诺标准，直至满足采购人要求为止。</w:t>
      </w:r>
      <w:r/>
    </w:p>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六、采购标的的验收标准；</w:t>
      </w:r>
      <w:r/>
    </w:p>
    <w:p>
      <w:pPr>
        <w:ind w:firstLine="56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.1本项目提交的全部技术成果，必须能</w:t>
      </w:r>
      <w:r>
        <w:rPr>
          <w:rFonts w:hint="eastAsia" w:ascii="宋体" w:hAnsi="宋体" w:eastAsia="宋体" w:cs="宋体"/>
          <w:color w:val="auto"/>
          <w:sz w:val="24"/>
          <w:szCs w:val="24"/>
          <w:highlight w:val="none"/>
        </w:rPr>
        <w:t xml:space="preserve">满足效果评估要求</w:t>
      </w:r>
      <w:r>
        <w:rPr>
          <w:rFonts w:hint="eastAsia" w:ascii="宋体" w:hAnsi="宋体" w:eastAsia="宋体" w:cs="宋体"/>
          <w:color w:val="auto"/>
          <w:sz w:val="24"/>
          <w:szCs w:val="24"/>
          <w:highlight w:val="none"/>
          <w:lang w:val="zh-CN"/>
        </w:rPr>
        <w:t xml:space="preserve">。</w:t>
      </w:r>
      <w:r/>
    </w:p>
    <w:p>
      <w:pPr>
        <w:ind w:firstLine="56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.2根据招标文件、中标单位的投标文件、双方签订的合同文件及其附件、国家的相关规定；效果评估</w:t>
      </w:r>
      <w:r>
        <w:rPr>
          <w:rFonts w:hint="eastAsia" w:ascii="宋体" w:hAnsi="宋体" w:eastAsia="宋体" w:cs="宋体"/>
          <w:color w:val="auto"/>
          <w:sz w:val="24"/>
          <w:szCs w:val="24"/>
          <w:highlight w:val="none"/>
        </w:rPr>
        <w:t xml:space="preserve">须通过生态环境主管部门组织或参与的专家评审</w:t>
      </w:r>
      <w:r>
        <w:rPr>
          <w:rFonts w:hint="eastAsia" w:ascii="宋体" w:hAnsi="宋体" w:eastAsia="宋体" w:cs="宋体"/>
          <w:color w:val="auto"/>
          <w:sz w:val="24"/>
          <w:szCs w:val="24"/>
          <w:highlight w:val="none"/>
          <w:lang w:val="zh-CN"/>
        </w:rPr>
        <w:t xml:space="preserve">。</w:t>
      </w:r>
      <w:r/>
    </w:p>
    <w:p>
      <w:pPr>
        <w:ind w:firstLine="56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lang w:val="zh-CN"/>
        </w:rPr>
        <w:t xml:space="preserve">招标单位有权核查中标单位提供的招标文件中相关材料的真实性，如若发现有虚假材料一切后果由中标单位承担。</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6.4中标单位须按照招标要求和技术标准实施，不得擅自修改，</w:t>
      </w:r>
      <w:r>
        <w:rPr>
          <w:rFonts w:hint="eastAsia" w:ascii="宋体" w:hAnsi="宋体" w:eastAsia="宋体" w:cs="宋体"/>
          <w:color w:val="auto"/>
          <w:sz w:val="24"/>
          <w:szCs w:val="24"/>
          <w:highlight w:val="none"/>
          <w:lang w:val="zh-CN"/>
        </w:rPr>
        <w:t xml:space="preserve">涉及的相关技术标准以最新文件为准</w:t>
      </w:r>
      <w:r>
        <w:rPr>
          <w:rFonts w:hint="eastAsia" w:ascii="宋体" w:hAnsi="宋体" w:eastAsia="宋体" w:cs="宋体"/>
          <w:color w:val="auto"/>
          <w:sz w:val="24"/>
          <w:szCs w:val="24"/>
          <w:highlight w:val="none"/>
        </w:rPr>
        <w:t xml:space="preserve">。</w:t>
      </w:r>
      <w:r/>
    </w:p>
    <w:p>
      <w:pPr>
        <w:ind w:firstLine="56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6.5中标单位须保证所提供服务等涉及的知识产权和所提供的技术资料是合法取得，并享有完整的知识产权，不会因为采购人的使用而被责令停止使用、追偿或要求赔偿损失，如出现此情况，一切经济和法律责任均由中标单位承担。</w:t>
      </w:r>
      <w:r/>
    </w:p>
    <w:p>
      <w:pPr>
        <w:numPr>
          <w:ilvl w:val="0"/>
          <w:numId w:val="5"/>
        </w:num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采购标的的其他技术、服务等要求；</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1．总体思路</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根据风险评估结果和分析管控总体思路，编制风险管控方案，采取污染隔离、阻断等措施，防止污染扩散，开展地下水、空气环境监测，发现污染扩散后，及时采取有效补救措施。该场地风险管控技术路线如下图1-2。污染地块土地使用权人应当按照国家有关环境标准和技术规范，编制风险管控方案，风险管控方案应当包括管控区域、目标、主要措施、环境监测计划以及应急措施等内容。</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该地块目前规划用途未最终明确，结合场地调查与风险评估结果，考虑基于第二类用地方式下（土壤不裸露）的风险管控方案，实施以防止污染扩散为目的的风险管控，该场地的风险管控总体思路如下：</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（1）地下水苯超风险区域建议实施阻隔措施（垂直阻隔），防止污染物扩散；</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（2）针对垂直阻隔外超风险的土壤区域和苯超标的地下水区域，采用微生物强化衰减技术，加速地下水中污染物降解衰减，提高自然衰减能力；</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（3）阻隔后，结合长期监测，评估阻隔效果，确保地块内污染不对周边用地产生环境污染迁移隐患。</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2．管控区域</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考虑到场地高风险污染物有氯代烃、苯系物等，整个场区大部分区域土壤采样时有异味，且该场地暂不开发利用。管控区域设置遵循下述原则：（1）包括全部地下水超风险范围；（2）包括超风险污染土壤；（3）可服务于后期可能开展的污染土壤和地下水管控工程。</w:t>
      </w:r>
      <w:r/>
    </w:p>
    <w:p>
      <w:pPr>
        <w:pStyle w:val="797"/>
        <w:ind w:firstLine="400"/>
        <w:jc w:val="left"/>
        <w:spacing w:after="0" w:line="360" w:lineRule="auto"/>
        <w:rPr>
          <w:rFonts w:ascii="宋体" w:hAnsi="宋体" w:cs="宋体"/>
          <w:color w:val="auto"/>
          <w:sz w:val="20"/>
          <w:highlight w:val="none"/>
        </w:rPr>
      </w:pPr>
      <w:r>
        <w:rPr>
          <w:rFonts w:hint="eastAsia" w:ascii="宋体" w:hAnsi="宋体" w:cs="宋体"/>
          <w:color w:val="auto"/>
          <w:sz w:val="2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1118870</wp:posOffset>
                </wp:positionH>
                <wp:positionV relativeFrom="paragraph">
                  <wp:posOffset>890270</wp:posOffset>
                </wp:positionV>
                <wp:extent cx="3206115" cy="3629660"/>
                <wp:effectExtent l="0" t="0" r="9525" b="12700"/>
                <wp:wrapTopAndBottom/>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2"/>
                        <a:stretch/>
                      </pic:blipFill>
                      <pic:spPr bwMode="auto">
                        <a:xfrm>
                          <a:off x="0" y="0"/>
                          <a:ext cx="3206115" cy="3629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88.1pt;mso-position-horizontal:absolute;mso-position-vertical-relative:text;margin-top:70.1pt;mso-position-vertical:absolute;width:252.4pt;height:285.8pt;mso-wrap-distance-left:0.0pt;mso-wrap-distance-top:0.0pt;mso-wrap-distance-right:0.0pt;mso-wrap-distance-bottom:0.0pt;" stroked="f">
                <v:path textboxrect="0,0,0,0"/>
                <w10:wrap type="topAndBottom"/>
                <v:imagedata r:id="rId22" o:title=""/>
              </v:shape>
            </w:pict>
          </mc:Fallback>
        </mc:AlternateContent>
      </w:r>
      <w:r>
        <w:rPr>
          <w:rFonts w:hint="eastAsia" w:ascii="宋体" w:hAnsi="宋体" w:cs="宋体"/>
          <w:color w:val="auto"/>
          <w:sz w:val="24"/>
          <w:szCs w:val="22"/>
          <w:highlight w:val="none"/>
        </w:rPr>
        <w:t xml:space="preserve">据风险评估报告框定的超风险范围，面积为6676.61 m2；止水帷幕总长度为342 m。</w:t>
      </w:r>
      <w:r>
        <w:rPr>
          <w:rFonts w:hint="eastAsia" w:ascii="宋体" w:hAnsi="宋体" w:cs="宋体"/>
          <w:color w:val="auto"/>
          <w:sz w:val="24"/>
          <w:szCs w:val="22"/>
          <w:highlight w:val="none"/>
        </w:rPr>
        <w:tab/>
      </w:r>
      <w:r/>
    </w:p>
    <w:p>
      <w:pPr>
        <w:ind w:firstLine="522"/>
        <w:jc w:val="center"/>
        <w:spacing w:line="50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图1-2 场地风险管控总体思路示意图</w:t>
      </w:r>
      <w:r/>
    </w:p>
    <w:p>
      <w:pPr>
        <w:pStyle w:val="797"/>
        <w:ind w:left="23"/>
        <w:spacing w:line="20" w:lineRule="exact"/>
        <w:tabs>
          <w:tab w:val="left" w:pos="4940" w:leader="none"/>
        </w:tabs>
        <w:rPr>
          <w:rFonts w:ascii="宋体" w:hAnsi="宋体" w:cs="宋体"/>
          <w:color w:val="auto"/>
          <w:sz w:val="18"/>
          <w:highlight w:val="none"/>
        </w:rPr>
      </w:pPr>
      <w:r/>
      <w:bookmarkStart w:id="11" w:name="_bookmark42"/>
      <w:r/>
      <w:bookmarkEnd w:id="11"/>
      <w:r>
        <w:rPr>
          <w:rFonts w:hint="eastAsia" w:ascii="宋体" w:hAnsi="宋体" w:cs="宋体"/>
          <w:color w:val="auto"/>
          <w:sz w:val="2"/>
          <w:highlight w:val="none"/>
        </w:rPr>
        <w:tab/>
      </w:r>
      <w:r/>
    </w:p>
    <w:p>
      <w:pPr>
        <w:pStyle w:val="797"/>
        <w:jc w:val="center"/>
        <w:spacing w:before="15"/>
        <w:rPr>
          <w:rFonts w:ascii="宋体" w:hAnsi="宋体" w:cs="宋体"/>
          <w:color w:val="auto"/>
          <w:sz w:val="0"/>
          <w:szCs w:val="0"/>
          <w:highlight w:val="none"/>
          <w:shd w:val="clear" w:color="000000" w:fill="000000"/>
          <w:lang w:bidi="zh-CN"/>
        </w:rPr>
      </w:pPr>
      <w:r>
        <w:rPr>
          <w:rFonts w:ascii="宋体" w:hAnsi="宋体" w:cs="宋体"/>
          <w:color w:val="auto"/>
          <w:sz w:val="0"/>
          <w:szCs w:val="0"/>
          <w:highlight w:val="none"/>
          <w:shd w:val="clear" w:color="000000" w:fill="000000"/>
          <w:lang w:bidi="zh-CN"/>
        </w:rPr>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3．管控总体目标</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本项目管控总体目标为：采用垂直防渗阻隔屏障对地块污染实施立体阻隔，切断地块内地下水污染向周边环境扩散迁移途径，阻断污染物与人体接触的暴露途径，有效管控地块污染人体健康和环境风险，土壤管控面积为2897m2，土壤管控最大深度为7m，地下水管控面积为13851.1m2，地下水管控深度为12m；同时采用微生物强化衰减技术，应用于垂直阻隔屏障外超风险土壤区域和苯超标的地下水区域，加速污染物降解衰减，提高自然衰减能力。为保障地块土壤和地下水污染得到有效管控，支撑地块后续安全利用。风险管控各环节总体目标如下：</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（1）垂直阻隔目标</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1）建设垂直阻隔屏障，阻断地下水污染向地块红线外迁移扩散，垂直阻隔屏障应连续、耐腐蚀、具备足够防渗性能，渗透系数值不高于1×10-7cm/s。</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2）垂直阻隔屏障建设完成后，开展垂直阻隔墙内外地下水环境状况长期监测，地块外地下水环境状况（超风险污染物浓度）应保持持续稳定或下降趋势。</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（2）微生物衰减目标</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本地块针对垂直阻隔屏障外土壤超风险区域和地下水苯超标区域，采用微生物强化衰减技术，加速土壤和地下水中修复目标污染物浓度降解衰减30%。微生物利用污染物作为碳源和能源，从而达到对污染物的降解和矿化的目的。</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4．垂直阻隔技术</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综合分析土壤和地下水污染范围、刺激性异味存在区域、施工作业方便、工程量及成本等因素，选择TRD工法，又称为“深层地下水泥土连续墙工法”或“渠式切割深层搅拌地下水泥土连续墙工法”。垂直阻隔周长342m，建设深度为地表以下36.5 m（嵌入相对不透水层0.9 m以上）。</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5．微生物衰减技术</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微生物对有机物污染土壤和地下水的修复是以微生物对有机污染物的降解和转化为基础的，本地块针对超风险污染土壤和地下水区域，采用微生物强化衰减技术，加速土壤和地下水中修复目标污染物浓度降解衰减30%。微生物利用污染物作为碳源和能源，从而达到对污染物的降解和矿化的目的。通常情况下，土壤和地下水生物修复的关键是激发对污染物具有降解能力的微生物的活性，并在修复周期内保持其活性。</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为提高修复效率并克服单一方法的局限，拟将生物刺激和生物强化策略相结合，形成协同增效的综合修复方案。将在微生物降解苯系物的全过程中提高各阶段的效率，通过生物刺激添加药剂提高生物量，同时增强苯系物的生物利用度；通过生物强化人为筛选添加降解菌剂，增加高效降解菌株的丰度，提高降解效率，缩短降解周期。注入井按照5m*5m密度布设，共计106口。</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6．工艺参数</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（1）垂直阻隔技术要求</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1）施工需定位准确，浆液泵送量应与搅拌下沉（或提升）速度相匹配，保证搅拌桩中水泥掺量的均匀性，TRD水泥搅拌桩的渗透系数＜10-7 cm/s。</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2）搅拌机头在正常情况下应上下各一次对土体进行喷浆搅拌，对含砂量大的土层，宜在搅拌桩底部2 m~3 m范围内上下重复喷浆搅拌一次。</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3）施工时如因故停浆，应在恢复喷浆前，将搅拌机头提升（或下沉）0.5 m后再喷浆搅拌施工。因搁置时间过长产生初凝的浆液，应作为废浆处理，严禁使用。</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4）相邻桩施工间隔不得超过12小时，否则应在相邻部位补桩。</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（2）微生物衰减技术要求</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1）药剂配置系统</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混合罐、计量泵，添加氮（铵/尿素）和磷（磷酸盐），比例C:N:P为100:10:1至100:1:0.5。除了营养物质以外，复配以生物表面活性剂作为促溶材料，确保地下体系中表面活性剂浓度300~500 mg/L，间歇添加以防pH降低或沉淀。药剂配置系统包括菌剂系统和溶解水箱，pH计、温度和颗粒度监测系统等，确保药剂按照设定的比例加入并且溶解完全。</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药剂配制和注入系统采用一体化原位注入设备，系统最大注入流量5m³/d，最大注入压力0.5MPa。</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2）添加量</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控制菌剂的微生物浓度不低于5×108CFU/mL。参考相关案例，推荐每一口井的生物菌剂注入量为100L，生物药剂的注入量为200L，生物菌剂待注入系统建设完毕一次性注入，生物药剂在60天的施工期内分3次注入，隔20天注入一次，注入比例为4:3:3，即80L，60L，60L。后续根据实际现场小试情况进行调整。</w:t>
      </w:r>
      <w:r/>
    </w:p>
    <w:p>
      <w:pPr>
        <w:pStyle w:val="797"/>
        <w:ind w:firstLine="480"/>
        <w:jc w:val="left"/>
        <w:spacing w:after="0"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3）监测指标</w:t>
      </w:r>
      <w:r/>
    </w:p>
    <w:p>
      <w:pPr>
        <w:ind w:firstLine="480"/>
        <w:jc w:val="left"/>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监测井建设位于羽流内外，监测指标主要包括污染物水平和参数（如pH、温度等），定时监测指标，尤其是药剂注入前后密切关注监测指标，必要时根据实际情况调整添加量和添加频率。</w:t>
      </w:r>
      <w:r/>
    </w:p>
    <w:p>
      <w:pPr>
        <w:ind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6、工作成果要求</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1.相关方案</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（1）施工风险管控方案；</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（2）环境管理方案；</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2.项目管理组织方案</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（1）施工重难点分析；</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（2）施工方案；</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（3）施工进度计划与保障措施；</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（4）工程质量管理及保障措施；</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（5）安全文明施工与个人防护措施；</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（6）应急预案等；</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3.项目过程文件</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（1）施工竣工报告；</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（2）阻隔施工过程及评估资料；</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（3）污染源削减过程及评估资料；</w:t>
      </w:r>
      <w:r/>
    </w:p>
    <w:p>
      <w:pPr>
        <w:pStyle w:val="832"/>
        <w:ind w:left="0"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（4）施工过程台账、记录、审批等；</w:t>
      </w:r>
      <w:r/>
    </w:p>
    <w:p>
      <w:pPr>
        <w:contextualSpacing/>
        <w:ind w:firstLine="562"/>
        <w:spacing w:line="4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（5）监测报告。</w:t>
      </w:r>
      <w:r/>
    </w:p>
    <w:p>
      <w:pPr>
        <w:contextualSpacing/>
        <w:ind w:firstLine="562"/>
        <w:spacing w:line="46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八、付款方式</w:t>
      </w:r>
      <w:r/>
    </w:p>
    <w:p>
      <w:pPr>
        <w:pStyle w:val="987"/>
        <w:ind w:firstLine="562"/>
        <w:jc w:val="both"/>
        <w:spacing w:line="460" w:lineRule="exact"/>
        <w:rPr>
          <w:rFonts w:ascii="宋体" w:hAnsi="宋体" w:eastAsia="宋体" w:cs="宋体"/>
          <w:color w:val="auto"/>
          <w:highlight w:val="none"/>
        </w:rPr>
      </w:pPr>
      <w:r>
        <w:rPr>
          <w:rFonts w:hint="eastAsia" w:ascii="宋体" w:hAnsi="宋体" w:eastAsia="宋体" w:cs="宋体"/>
          <w:color w:val="auto"/>
          <w:highlight w:val="none"/>
        </w:rPr>
        <w:t xml:space="preserve">本管控工程</w:t>
      </w:r>
      <w:r>
        <w:rPr>
          <w:rFonts w:hint="default" w:ascii="宋体" w:hAnsi="宋体" w:eastAsia="宋体" w:cs="宋体"/>
          <w:color w:val="auto"/>
          <w:highlight w:val="none"/>
          <w:lang w:val="en-US"/>
        </w:rPr>
        <w:t xml:space="preserve">（180日历天）施工结束</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中标供应商</w:t>
      </w:r>
      <w:r>
        <w:rPr>
          <w:rFonts w:hint="eastAsia" w:ascii="宋体" w:hAnsi="宋体" w:eastAsia="宋体" w:cs="宋体"/>
          <w:color w:val="auto"/>
          <w:highlight w:val="none"/>
        </w:rPr>
        <w:t xml:space="preserve">递交完整的施工资料并经采购人确认后，支付合同总价的50%；项目完成效果评估且评估报告通过生态环境主管部门组织或参与的专家评审，支付合同总价的20%；效果评估通过专家评审且采购人委托审计单位审计完成后付至审计价的95%，余款在项目审计完成后的12个月内付清。</w:t>
      </w:r>
      <w:r/>
    </w:p>
    <w:p>
      <w:pPr>
        <w:ind w:firstLine="56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注：若最终审定价高于合同价，超出部分采购人不予支付。投标供应商应充分考量该部分成本风险。</w:t>
      </w:r>
      <w:r/>
    </w:p>
    <w:p>
      <w:pPr>
        <w:ind w:firstLine="56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九、项目涉及到的现场勘察</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所提供的项目相关数据仅作参考，根据自身需要，供应商可在招标文件递交之日前对有关现场和周围环境进行勘察，以获取编制响应文件和签署合同所需的信息。勘查现场所发生的费用由供应商自己承担。</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2.采购人向供应商提供的有关现场的资料和数据，是采购人现有的并认为能使供应商可利用的资料。采购人对供应商由此而做出的推论、理解和结论概不负责。</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3.经采购人允许，供应商可为勘察目的进入采购人的项目现场，但供应商不得因此使采购人承担有关的责任和蒙受损失。供应商应承担勘查现场的责任和风险。</w:t>
      </w:r>
      <w:r/>
    </w:p>
    <w:p>
      <w:pPr>
        <w:ind w:firstLine="56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在现场勘察时，熟悉施工及制作安装现场、现场周围交通道路等情况，以获得一切可能影响其投标的直接资料。供应商成交后，不得以不完全了解现场情况为理由而向采购人提出任何索赔的要求，对此采购人不承担任何责任并将不作任何答复与考虑。</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36"/>
          <w:szCs w:val="36"/>
          <w:highlight w:val="none"/>
        </w:rPr>
        <w:t xml:space="preserve">第四章 评审方法和程序</w:t>
      </w:r>
      <w:bookmarkEnd w:id="10"/>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一、招标人委托代理机构组织招标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1.成立评标委员会小组，评标委员会由招标人代表和评审专家组成，成员人数应当为5人以上单数，其中评审专家不得少于成员总数的三分之二。</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二、开标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不见面远程开标模式：开标当天各投标人在各自地点通过苏采云系统及时登录不见面开标大厅，参加投标活动。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2.代理机构主持开标并记录，及时处理投标人代表提出的询问或者回避申请。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3.投标人不足3家的不得开标。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三、资格审查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1.开标后，招标人及其委托的采购代理机构依据相关法律政策的规定，根据招标文件载明的资格审查要求，对投标人的资格进行审查。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2.资格审查合格的投标人进入评标。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3.合格投标人不足3家的，不得评标。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1.评标时间</w:t>
      </w:r>
      <w:r>
        <w:rPr>
          <w:rFonts w:hint="eastAsia" w:ascii="宋体" w:hAnsi="宋体" w:eastAsia="宋体" w:cs="宋体"/>
          <w:b/>
          <w:color w:val="auto"/>
          <w:sz w:val="24"/>
          <w:szCs w:val="24"/>
          <w:highlight w:val="none"/>
        </w:rPr>
        <w:t xml:space="preserve">：资格审查结束以后。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2.代理机构负责组织评标工作，并履行下列职责：</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（1）核对评审专家身份和招标人代表授权函，对评审专家在招标采购活动中的职责履行情况予以记录，并及时将有关违法违规行为向相关部门报告。</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（4）组织评标委员会推选评标组长，招标人代表不得担任组长。</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（6）根据评标委员会的要求介绍采购相关政策法规、招标文件。</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（8）核对评标结果，有下列规定情形的，要求评标委员会复核或者书面说明理由，评标委员会拒绝的，则予以书面记录并向本级相关部门报告：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分值汇总计算错误的；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分项评分超出评分标准范围的；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评标委员会成员对客观评审因素评分不一致的；</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经评标委员会认定评分畸高、畸低的。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3.评标委员会负责具体评标事务：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发现招标文件存在歧义、重大缺陷导致评标工作无法进行，或者招标文件内容违反国家有关强制性规定的，应当停止评标工作，与招标人或者代理机构沟通并作书面记录。招标人或者代理机构确认后，应当修改招标文件，重新组织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4.评标委员会成员独立履行以下职责与义务：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（1）遵纪守法，客观、公正、廉洁地履行职责；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（2）审查合格投标人的投标文件是否实质性响应招标文件要求，并作出评价；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（3）按照招标文件规定的评标办法和评标标准进行评标，对评审意见承担个人责任；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（4）可以要求投标人对投标文件有关事项作出解释或澄清；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（5）对评标过程和结果，以及投标人的商业秘密保密；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（6）配合相关部门的投诉处理工作；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（7）配合招标人或代理机构答复投标人提出的质疑。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7.评审期间，合格投标人的投标文件仍有可能被评标委员会根据规定判为无效投标。</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8.在投标文件的评审、澄清、评价和比较以及授予合同的过程中，投标人对招标人和评标委员会成员有施加影响的任何行为，都将取消其可能的中标资格。</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五、评审原则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1.本项目采用</w:t>
      </w:r>
      <w:r>
        <w:rPr>
          <w:rFonts w:hint="eastAsia" w:ascii="宋体" w:hAnsi="宋体" w:eastAsia="宋体" w:cs="宋体"/>
          <w:b/>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，即指投标文件满足本项目招标文件全部实质性要求，且按照评审因素的量化指标，经评审后得分最高的投标人推荐为中标人的评标方法。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4.对投标文件的评审判定，只依据投标文件内容本身，不依靠开标后任何外来证明文件。</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六、评审方法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1.评标程序：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资格符合性评审——商务技术标评审——价格标评审——确定中标候选人。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本次资格审查采用资格后审，各投标人资格审查通过后方能进入商务技术标的开标。先开商务技术标，商务技术标打分结束后再开价格标。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2.评标委员会将仅对按本招标文件载明的方法与规定，为实质上响应招标文件要求的投标文件评审并进行评价和比较。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3.本次项目的技术标和价格标评审总分值为100分。两部分评审因素比重如下：</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商务技术标分值占总分值的比重为</w:t>
      </w:r>
      <w:r>
        <w:rPr>
          <w:rFonts w:hint="eastAsia" w:ascii="宋体" w:hAnsi="宋体" w:eastAsia="宋体" w:cs="宋体"/>
          <w:b/>
          <w:bCs/>
          <w:color w:val="auto"/>
          <w:sz w:val="24"/>
          <w:szCs w:val="24"/>
          <w:highlight w:val="none"/>
          <w:u w:val="single"/>
        </w:rPr>
        <w:t xml:space="preserve">70%</w:t>
      </w:r>
      <w:r>
        <w:rPr>
          <w:rFonts w:hint="eastAsia" w:ascii="宋体" w:hAnsi="宋体" w:eastAsia="宋体" w:cs="宋体"/>
          <w:b/>
          <w:bCs/>
          <w:color w:val="auto"/>
          <w:sz w:val="24"/>
          <w:szCs w:val="24"/>
          <w:highlight w:val="none"/>
        </w:rPr>
        <w:t xml:space="preserve">（权重）（计算结果均四舍五入保留两位小数）；</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价格标分值占总分值的比重为</w:t>
      </w:r>
      <w:r>
        <w:rPr>
          <w:rFonts w:hint="eastAsia" w:ascii="宋体" w:hAnsi="宋体" w:eastAsia="宋体" w:cs="宋体"/>
          <w:b/>
          <w:bCs/>
          <w:color w:val="auto"/>
          <w:sz w:val="24"/>
          <w:szCs w:val="24"/>
          <w:highlight w:val="none"/>
          <w:u w:val="single"/>
        </w:rPr>
        <w:t xml:space="preserve">30%</w:t>
      </w:r>
      <w:r>
        <w:rPr>
          <w:rFonts w:hint="eastAsia" w:ascii="宋体" w:hAnsi="宋体" w:eastAsia="宋体" w:cs="宋体"/>
          <w:b/>
          <w:bCs/>
          <w:color w:val="auto"/>
          <w:sz w:val="24"/>
          <w:szCs w:val="24"/>
          <w:highlight w:val="none"/>
        </w:rPr>
        <w:t xml:space="preserve">（权重）（计算结果均四舍五入保留两位小数）；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4.评标委员会严格按照招标文件的要求、条件、评分标准，对投标人所提供服务的先进性、可靠性、售后服务承诺、质量保证承诺等实质性响应内容进行比较。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6.商务技术分按评委的算术平均值计算（计算结果均四舍五入保留两位小数）。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7.开启投标人的价格标，现场唱标后由投标人代表在苏采云系统确认。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8.投标人的价格标评审得分直接计算取得，并与其商务技术标得分相加为该投标人的综合得分（计算结果均四舍五入保留两位小数）。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七、关于投标价格评审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1.针对投标价格实质响应的评审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2.针对投标价格合理性的评审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2.1评审过程中出现下列情形之一的，评审委员会应当启动异常低价投标（响应）审查程序：</w:t>
      </w:r>
      <w:r/>
    </w:p>
    <w:p>
      <w:pPr>
        <w:pStyle w:val="816"/>
        <w:ind w:firstLine="646"/>
        <w:jc w:val="both"/>
        <w:spacing w:before="0" w:beforeAutospacing="0" w:after="0" w:afterAutospacing="0" w:line="400" w:lineRule="atLeast"/>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1.投标（响应）报价低于全部通过符合性审查供应商投标（响应）报价平均值50%的，即投标（响应）报价&lt;全部通过符合性审查供应商投标（响应）报价平均值×50%；</w:t>
      </w:r>
      <w:r/>
    </w:p>
    <w:p>
      <w:pPr>
        <w:pStyle w:val="816"/>
        <w:ind w:firstLine="646"/>
        <w:jc w:val="both"/>
        <w:spacing w:before="0" w:beforeAutospacing="0" w:after="0" w:afterAutospacing="0" w:line="400" w:lineRule="atLeast"/>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2.投标（响应）报价低于通过符合性审查的次低报价供应商投标（响应）报价50%的，即投标（响应）报价&lt;通过符合性审查的次低报价供应商投标（响应）报价×50%；</w:t>
      </w:r>
      <w:r/>
    </w:p>
    <w:p>
      <w:pPr>
        <w:pStyle w:val="816"/>
        <w:ind w:firstLine="646"/>
        <w:jc w:val="both"/>
        <w:spacing w:before="0" w:beforeAutospacing="0" w:after="0" w:afterAutospacing="0" w:line="400" w:lineRule="atLeast"/>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3.投标（响应）报价低于采购项目最高限价45%的，即投标（响应）报价&lt;采购项目最高限价×45%；</w:t>
      </w:r>
      <w:r/>
    </w:p>
    <w:p>
      <w:pPr>
        <w:pStyle w:val="816"/>
        <w:ind w:firstLine="646"/>
        <w:jc w:val="both"/>
        <w:spacing w:before="0" w:beforeAutospacing="0" w:after="0" w:afterAutospacing="0" w:line="400" w:lineRule="atLeast"/>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4.评审委员会基于专业判断，认为供应商报价过低，有可能影响产品质量或者不能诚信履约的其他情形。</w:t>
      </w:r>
      <w:r/>
    </w:p>
    <w:p>
      <w:pPr>
        <w:pStyle w:val="816"/>
        <w:ind w:firstLine="646"/>
        <w:jc w:val="both"/>
        <w:spacing w:before="0" w:beforeAutospacing="0" w:after="0" w:afterAutospacing="0" w:line="400" w:lineRule="atLeast"/>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6"/>
        <w:ind w:firstLine="646"/>
        <w:jc w:val="both"/>
        <w:spacing w:before="0" w:beforeAutospacing="0" w:after="0" w:afterAutospacing="0" w:line="400" w:lineRule="atLeast"/>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6"/>
        <w:ind w:firstLine="646"/>
        <w:jc w:val="both"/>
        <w:spacing w:before="0" w:beforeAutospacing="0" w:after="0" w:afterAutospacing="0" w:line="40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6"/>
        <w:ind w:firstLine="646"/>
        <w:jc w:val="both"/>
        <w:spacing w:before="0" w:beforeAutospacing="0" w:after="0" w:afterAutospacing="0" w:line="40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八、评审评分项 </w:t>
      </w:r>
      <w:r/>
    </w:p>
    <w:p>
      <w:pPr>
        <w:contextualSpacing/>
        <w:ind w:firstLine="482"/>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（一）商务技术标评分：（70分）</w:t>
      </w:r>
      <w:r/>
    </w:p>
    <w:tbl>
      <w:tblPr>
        <w:tblStyle w:val="79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594"/>
        <w:gridCol w:w="1771"/>
        <w:gridCol w:w="5531"/>
        <w:gridCol w:w="626"/>
      </w:tblGrid>
      <w:tr>
        <w:trPr>
          <w:jc w:val="center"/>
          <w:tblHead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序号</w:t>
            </w:r>
            <w:r/>
          </w:p>
        </w:tc>
        <w:tc>
          <w:tcPr>
            <w:shd w:val="clear" w:color="auto" w:fill="auto"/>
            <w:tcMar>
              <w:left w:w="96" w:type="dxa"/>
              <w:top w:w="96" w:type="dxa"/>
              <w:right w:w="96" w:type="dxa"/>
              <w:bottom w:w="96" w:type="dxa"/>
            </w:tcMar>
            <w:tcW w:w="1771"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评分项目</w:t>
            </w:r>
            <w:r/>
          </w:p>
        </w:tc>
        <w:tc>
          <w:tcPr>
            <w:shd w:val="clear" w:color="auto" w:fill="auto"/>
            <w:tcMar>
              <w:left w:w="96" w:type="dxa"/>
              <w:top w:w="96" w:type="dxa"/>
              <w:right w:w="96" w:type="dxa"/>
              <w:bottom w:w="96" w:type="dxa"/>
            </w:tcMar>
            <w:tcW w:w="5531"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评分标准</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分值</w:t>
            </w:r>
            <w:r/>
          </w:p>
        </w:tc>
      </w:tr>
      <w:tr>
        <w:trPr>
          <w:jc w:val="center"/>
          <w:trHeight w:val="90"/>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1</w:t>
            </w:r>
            <w:r/>
          </w:p>
        </w:tc>
        <w:tc>
          <w:tcPr>
            <w:shd w:val="clear" w:color="auto" w:fill="auto"/>
            <w:tcMar>
              <w:left w:w="96" w:type="dxa"/>
              <w:top w:w="96" w:type="dxa"/>
              <w:right w:w="96" w:type="dxa"/>
              <w:bottom w:w="96" w:type="dxa"/>
            </w:tcMar>
            <w:tcW w:w="1771"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企业实力</w:t>
            </w:r>
            <w:r/>
          </w:p>
        </w:tc>
        <w:tc>
          <w:tcPr>
            <w:shd w:val="clear" w:color="auto" w:fill="auto"/>
            <w:tcMar>
              <w:left w:w="96" w:type="dxa"/>
              <w:top w:w="96" w:type="dxa"/>
              <w:right w:w="96" w:type="dxa"/>
              <w:bottom w:w="96" w:type="dxa"/>
            </w:tcMar>
            <w:tcW w:w="5531" w:type="dxa"/>
            <w:vAlign w:val="center"/>
            <w:textDirection w:val="lrTb"/>
            <w:noWrap w:val="false"/>
          </w:tcPr>
          <w:p>
            <w:pPr>
              <w:numPr>
                <w:numId w:val="0"/>
              </w:numPr>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投标人具有质量管理体系认证、环境管理体系认证、职业健康管理体系认证的，每提供一个得1分，最高得3分。不提供不得分。</w:t>
            </w:r>
            <w:r>
              <w:rPr>
                <w:rFonts w:hint="eastAsia" w:ascii="宋体" w:hAnsi="宋体" w:eastAsia="宋体" w:cs="宋体"/>
                <w:b/>
                <w:bCs/>
                <w:color w:val="auto"/>
                <w:sz w:val="21"/>
                <w:szCs w:val="21"/>
                <w:highlight w:val="none"/>
              </w:rPr>
              <w:t xml:space="preserve">提供相关证书扫描件加盖公章扫描上传至电子投标文件中。</w:t>
            </w:r>
            <w:r/>
          </w:p>
        </w:tc>
        <w:tc>
          <w:tcPr>
            <w:shd w:val="clear" w:color="auto" w:fill="auto"/>
            <w:tcMar>
              <w:left w:w="96" w:type="dxa"/>
              <w:top w:w="96" w:type="dxa"/>
              <w:right w:w="96" w:type="dxa"/>
              <w:bottom w:w="96" w:type="dxa"/>
            </w:tcMar>
            <w:tcW w:w="626"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1"/>
                <w:szCs w:val="21"/>
                <w:highlight w:val="none"/>
              </w:rPr>
              <w:t xml:space="preserve">3</w:t>
            </w:r>
            <w:r/>
          </w:p>
        </w:tc>
      </w:tr>
      <w:tr>
        <w:trPr>
          <w:jc w:val="center"/>
          <w:trHeight w:val="90"/>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2</w:t>
            </w:r>
            <w:r/>
          </w:p>
        </w:tc>
        <w:tc>
          <w:tcPr>
            <w:shd w:val="clear" w:color="auto" w:fill="auto"/>
            <w:tcMar>
              <w:left w:w="96" w:type="dxa"/>
              <w:top w:w="96" w:type="dxa"/>
              <w:right w:w="96" w:type="dxa"/>
              <w:bottom w:w="96" w:type="dxa"/>
            </w:tcMar>
            <w:tcW w:w="1771" w:type="dxa"/>
            <w:vAlign w:val="center"/>
            <w:textDirection w:val="lrTb"/>
            <w:noWrap w:val="false"/>
          </w:tcPr>
          <w:p>
            <w:pPr>
              <w:jc w:val="center"/>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企业业绩</w:t>
            </w:r>
            <w:r/>
          </w:p>
        </w:tc>
        <w:tc>
          <w:tcPr>
            <w:shd w:val="clear" w:color="auto" w:fill="auto"/>
            <w:tcMar>
              <w:left w:w="96" w:type="dxa"/>
              <w:top w:w="96" w:type="dxa"/>
              <w:right w:w="96" w:type="dxa"/>
              <w:bottom w:w="96" w:type="dxa"/>
            </w:tcMar>
            <w:tcW w:w="5531" w:type="dxa"/>
            <w:vAlign w:val="center"/>
            <w:textDirection w:val="lrTb"/>
            <w:noWrap w:val="false"/>
          </w:tcPr>
          <w:p>
            <w:pPr>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供应商自2021年</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月1日以来（时间以合同签订时间为准）完成的类似本项目（土壤或地下水污染的修复或管控工程服务）案例，每提供1个得3分，满分6分。</w:t>
            </w:r>
            <w:r/>
          </w:p>
          <w:p>
            <w:pPr>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（完成过的业绩证明材料：</w:t>
            </w:r>
            <w:r>
              <w:rPr>
                <w:rFonts w:hint="eastAsia" w:ascii="宋体" w:hAnsi="宋体" w:eastAsia="宋体" w:cs="宋体"/>
                <w:b/>
                <w:bCs/>
                <w:color w:val="auto"/>
                <w:sz w:val="21"/>
                <w:szCs w:val="21"/>
                <w:highlight w:val="none"/>
                <w:lang w:val="en-US" w:eastAsia="zh-CN"/>
              </w:rPr>
              <w:t xml:space="preserve">需同时提供</w:t>
            </w:r>
            <w:r>
              <w:rPr>
                <w:rFonts w:hint="eastAsia" w:ascii="宋体" w:hAnsi="宋体" w:eastAsia="宋体" w:cs="宋体"/>
                <w:b/>
                <w:bCs/>
                <w:color w:val="auto"/>
                <w:sz w:val="21"/>
                <w:szCs w:val="21"/>
                <w:highlight w:val="none"/>
              </w:rPr>
              <w:t xml:space="preserve">①合同关键页(含签订合同双方的单位名称、合同项目名称、项目金额与含签订合同双方的落款盖章、合同签订日期)；②生态环境行政主管部门组织专家会通过的评审意见或委托方出具的相关证明材料(备案函或竣工验收证明或报验表)。提供相关证明材料原件的扫描件并加盖供应商公章上传至响应文件。</w:t>
            </w:r>
            <w:r>
              <w:rPr>
                <w:rFonts w:hint="eastAsia" w:ascii="宋体" w:hAnsi="宋体" w:eastAsia="宋体" w:cs="宋体"/>
                <w:b/>
                <w:bCs/>
                <w:color w:val="auto"/>
                <w:sz w:val="21"/>
                <w:szCs w:val="21"/>
                <w:highlight w:val="none"/>
                <w:lang w:val="en-US" w:eastAsia="zh-CN"/>
              </w:rPr>
              <w:t xml:space="preserve">未</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或未按要求提供</w:t>
            </w:r>
            <w:r>
              <w:rPr>
                <w:rFonts w:hint="eastAsia" w:ascii="宋体" w:hAnsi="宋体" w:eastAsia="宋体" w:cs="宋体"/>
                <w:b/>
                <w:bCs/>
                <w:color w:val="auto"/>
                <w:sz w:val="21"/>
                <w:szCs w:val="21"/>
                <w:highlight w:val="none"/>
              </w:rPr>
              <w:t xml:space="preserve">不得分。）</w:t>
            </w:r>
            <w:r/>
          </w:p>
        </w:tc>
        <w:tc>
          <w:tcPr>
            <w:shd w:val="clear" w:color="auto" w:fill="auto"/>
            <w:tcMar>
              <w:left w:w="96" w:type="dxa"/>
              <w:top w:w="96" w:type="dxa"/>
              <w:right w:w="96" w:type="dxa"/>
              <w:bottom w:w="96" w:type="dxa"/>
            </w:tcMar>
            <w:tcW w:w="626"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1"/>
                <w:szCs w:val="21"/>
                <w:highlight w:val="none"/>
              </w:rPr>
              <w:t xml:space="preserve">6</w:t>
            </w:r>
            <w:r/>
          </w:p>
        </w:tc>
      </w:tr>
      <w:tr>
        <w:trPr>
          <w:jc w:val="center"/>
          <w:trHeight w:val="90"/>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3</w:t>
            </w:r>
            <w:r/>
          </w:p>
        </w:tc>
        <w:tc>
          <w:tcPr>
            <w:shd w:val="clear" w:color="auto" w:fill="auto"/>
            <w:tcMar>
              <w:left w:w="96" w:type="dxa"/>
              <w:top w:w="96" w:type="dxa"/>
              <w:right w:w="96" w:type="dxa"/>
              <w:bottom w:w="96" w:type="dxa"/>
            </w:tcMar>
            <w:tcW w:w="1771" w:type="dxa"/>
            <w:vAlign w:val="center"/>
            <w:textDirection w:val="lrTb"/>
            <w:noWrap w:val="false"/>
          </w:tcPr>
          <w:p>
            <w:pPr>
              <w:pStyle w:val="1370"/>
              <w:ind w:left="182"/>
              <w:jc w:val="center"/>
              <w:spacing w:before="81"/>
              <w:rPr>
                <w:b/>
                <w:bCs/>
                <w:color w:val="auto"/>
                <w:spacing w:val="1"/>
                <w:sz w:val="21"/>
                <w:szCs w:val="21"/>
                <w:highlight w:val="none"/>
              </w:rPr>
            </w:pPr>
            <w:r>
              <w:rPr>
                <w:rFonts w:hint="eastAsia"/>
                <w:b/>
                <w:bCs/>
                <w:color w:val="auto"/>
                <w:spacing w:val="1"/>
                <w:sz w:val="21"/>
                <w:szCs w:val="21"/>
                <w:highlight w:val="none"/>
              </w:rPr>
              <w:t xml:space="preserve">项目负责人</w:t>
            </w:r>
            <w:r/>
          </w:p>
          <w:p>
            <w:pPr>
              <w:pStyle w:val="1370"/>
              <w:ind w:left="182"/>
              <w:jc w:val="center"/>
              <w:spacing w:before="81"/>
              <w:rPr>
                <w:b/>
                <w:bCs/>
                <w:color w:val="auto"/>
                <w:sz w:val="21"/>
                <w:szCs w:val="21"/>
                <w:highlight w:val="none"/>
              </w:rPr>
            </w:pPr>
            <w:r>
              <w:rPr>
                <w:b/>
                <w:bCs/>
                <w:color w:val="auto"/>
                <w:sz w:val="21"/>
                <w:szCs w:val="21"/>
                <w:highlight w:val="none"/>
              </w:rPr>
            </w:r>
            <w:r/>
          </w:p>
        </w:tc>
        <w:tc>
          <w:tcPr>
            <w:shd w:val="clear" w:color="auto" w:fill="auto"/>
            <w:tcMar>
              <w:left w:w="96" w:type="dxa"/>
              <w:top w:w="96" w:type="dxa"/>
              <w:right w:w="96" w:type="dxa"/>
              <w:bottom w:w="96" w:type="dxa"/>
            </w:tcMar>
            <w:tcW w:w="5531" w:type="dxa"/>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1、拟投入本项目的项目负责人具有一级建造师执业资格证书的，得2分；具有二级建造师执业资格证书的，得1分。本项最多得2分。</w:t>
            </w:r>
            <w:r/>
          </w:p>
          <w:p>
            <w:pPr>
              <w:numPr>
                <w:ilvl w:val="0"/>
                <w:numId w:val="0"/>
              </w:numPr>
              <w:jc w:val="left"/>
              <w:widowControl/>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2</w:t>
            </w:r>
            <w:r>
              <w:rPr>
                <w:rFonts w:ascii="宋体" w:hAnsi="宋体" w:eastAsia="宋体" w:cs="宋体"/>
                <w:b w:val="0"/>
                <w:bCs w:val="0"/>
                <w:color w:val="auto"/>
                <w:sz w:val="21"/>
                <w:szCs w:val="21"/>
                <w:lang w:val="en-US" w:eastAsia="zh-CN" w:bidi="ar-SA"/>
              </w:rPr>
              <w:t xml:space="preserve">、</w:t>
            </w:r>
            <w:r>
              <w:rPr>
                <w:rFonts w:hint="eastAsia" w:ascii="宋体" w:hAnsi="宋体" w:eastAsia="宋体" w:cs="宋体"/>
                <w:color w:val="auto"/>
                <w:sz w:val="21"/>
                <w:szCs w:val="21"/>
                <w:highlight w:val="none"/>
              </w:rPr>
              <w:t xml:space="preserve">项目负责人具有环境类相关专业高级及以上工程师（含）及以上职称的得2分，具有环境类相关专业中级职称得1分，环境类相关专业初级职称不得分。本项最多得2分。</w:t>
            </w:r>
            <w:r/>
          </w:p>
          <w:p>
            <w:pPr>
              <w:numPr>
                <w:ilvl w:val="0"/>
                <w:numId w:val="0"/>
              </w:numPr>
              <w:jc w:val="left"/>
              <w:widowControl/>
              <w:rPr>
                <w:rFonts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lang w:val="en-US" w:eastAsia="zh-CN" w:bidi="ar-SA"/>
              </w:rPr>
              <w:t xml:space="preserve">3</w:t>
            </w:r>
            <w:r>
              <w:rPr>
                <w:rFonts w:ascii="宋体" w:hAnsi="宋体" w:eastAsia="宋体" w:cs="宋体"/>
                <w:bCs/>
                <w:color w:val="auto"/>
                <w:sz w:val="21"/>
                <w:szCs w:val="21"/>
                <w:lang w:val="en-US" w:eastAsia="zh-CN" w:bidi="ar-SA"/>
              </w:rPr>
              <w:t xml:space="preserve">、</w:t>
            </w:r>
            <w:r>
              <w:rPr>
                <w:rFonts w:hint="eastAsia" w:ascii="宋体" w:hAnsi="宋体" w:eastAsia="宋体" w:cs="宋体"/>
                <w:bCs/>
                <w:color w:val="auto"/>
                <w:sz w:val="21"/>
                <w:szCs w:val="21"/>
                <w:highlight w:val="none"/>
              </w:rPr>
              <w:t xml:space="preserve">项目负责人具备环境类硕士及以上学位证书的，得1分；环境类大学本科学位证书，得0.5分。</w:t>
            </w:r>
            <w:r>
              <w:rPr>
                <w:rFonts w:hint="eastAsia" w:ascii="宋体" w:hAnsi="宋体" w:eastAsia="宋体" w:cs="宋体"/>
                <w:color w:val="auto"/>
                <w:sz w:val="21"/>
                <w:szCs w:val="21"/>
                <w:highlight w:val="none"/>
              </w:rPr>
              <w:t xml:space="preserve">本项最多得1分（按所持学位证书的最高等级核算）。</w:t>
            </w:r>
            <w:r/>
          </w:p>
          <w:p>
            <w:pPr>
              <w:jc w:val="left"/>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备注：</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资格证书原件扫描件、</w:t>
            </w:r>
            <w:r>
              <w:rPr>
                <w:rFonts w:hint="eastAsia" w:ascii="宋体" w:hAnsi="宋体" w:eastAsia="宋体" w:cs="宋体"/>
                <w:b/>
                <w:bCs/>
                <w:color w:val="auto"/>
                <w:sz w:val="21"/>
                <w:szCs w:val="21"/>
                <w:highlight w:val="none"/>
              </w:rPr>
              <w:t xml:space="preserve">职称证书原件扫描件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学位证书原件扫描件及由社保机构出具的供应商在自2026年1月以来任意一个月为其缴纳社保的相关证明材料扫描件加盖公章扫描上传至电子投标文件中。</w:t>
            </w:r>
            <w:r>
              <w:rPr>
                <w:rFonts w:hint="eastAsia" w:ascii="宋体" w:hAnsi="宋体" w:eastAsia="宋体" w:cs="宋体"/>
                <w:b/>
                <w:bCs/>
                <w:color w:val="auto"/>
                <w:sz w:val="21"/>
                <w:szCs w:val="21"/>
                <w:highlight w:val="none"/>
                <w:lang w:val="en-US" w:eastAsia="zh-CN"/>
              </w:rPr>
              <w:t xml:space="preserve">未</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或未按要求提供</w:t>
            </w:r>
            <w:r>
              <w:rPr>
                <w:rFonts w:hint="eastAsia" w:ascii="宋体" w:hAnsi="宋体" w:eastAsia="宋体" w:cs="宋体"/>
                <w:b/>
                <w:bCs/>
                <w:color w:val="auto"/>
                <w:sz w:val="21"/>
                <w:szCs w:val="21"/>
                <w:highlight w:val="none"/>
              </w:rPr>
              <w:t xml:space="preserve">不得分。</w:t>
            </w:r>
            <w:r/>
          </w:p>
        </w:tc>
        <w:tc>
          <w:tcPr>
            <w:shd w:val="clear" w:color="auto" w:fill="auto"/>
            <w:tcMar>
              <w:left w:w="96" w:type="dxa"/>
              <w:top w:w="96" w:type="dxa"/>
              <w:right w:w="96" w:type="dxa"/>
              <w:bottom w:w="96" w:type="dxa"/>
            </w:tcMar>
            <w:tcW w:w="626"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1"/>
                <w:szCs w:val="21"/>
                <w:highlight w:val="none"/>
              </w:rPr>
              <w:t xml:space="preserve">5</w:t>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4</w:t>
            </w:r>
            <w:r/>
          </w:p>
        </w:tc>
        <w:tc>
          <w:tcPr>
            <w:shd w:val="clear" w:color="auto" w:fill="auto"/>
            <w:tcMar>
              <w:left w:w="96" w:type="dxa"/>
              <w:top w:w="96" w:type="dxa"/>
              <w:right w:w="96" w:type="dxa"/>
              <w:bottom w:w="96" w:type="dxa"/>
            </w:tcMar>
            <w:tcW w:w="1771" w:type="dxa"/>
            <w:vAlign w:val="center"/>
            <w:textDirection w:val="lrTb"/>
            <w:noWrap w:val="false"/>
          </w:tcPr>
          <w:p>
            <w:pPr>
              <w:jc w:val="center"/>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技术负责人</w:t>
            </w:r>
            <w:r/>
          </w:p>
          <w:p>
            <w:pPr>
              <w:jc w:val="center"/>
              <w:widowControl/>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tc>
        <w:tc>
          <w:tcPr>
            <w:shd w:val="clear" w:color="auto" w:fill="auto"/>
            <w:tcMar>
              <w:left w:w="96" w:type="dxa"/>
              <w:top w:w="96" w:type="dxa"/>
              <w:right w:w="96" w:type="dxa"/>
              <w:bottom w:w="96" w:type="dxa"/>
            </w:tcMar>
            <w:tcW w:w="5531" w:type="dxa"/>
            <w:textDirection w:val="lrTb"/>
            <w:noWrap w:val="false"/>
          </w:tcPr>
          <w:p>
            <w:pPr>
              <w:numPr>
                <w:ilvl w:val="-1"/>
                <w:numId w:val="0"/>
              </w:numPr>
              <w:jc w:val="left"/>
              <w:widowControl/>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1、拟投入本项目的技术负责人具有环境类相关专业高级职称及以上的技术职称，得2分，具有环境类相关专业中级职称得1分，环境类相关专业初级职称不得分。本项最多得2分。</w:t>
            </w:r>
            <w:r/>
          </w:p>
          <w:p>
            <w:pPr>
              <w:jc w:val="left"/>
              <w:widowControl/>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eastAsia="宋体" w:cs="宋体"/>
                <w:bCs/>
                <w:color w:val="auto"/>
                <w:sz w:val="21"/>
                <w:szCs w:val="21"/>
                <w:highlight w:val="none"/>
              </w:rPr>
              <w:t xml:space="preserve">具备环境类硕士及以上学位证书的，得1分；环境类大学本科学位证书，得0.5分。</w:t>
            </w:r>
            <w:r>
              <w:rPr>
                <w:rFonts w:hint="eastAsia" w:ascii="宋体" w:hAnsi="宋体" w:eastAsia="宋体" w:cs="宋体"/>
                <w:color w:val="auto"/>
                <w:sz w:val="21"/>
                <w:szCs w:val="21"/>
                <w:highlight w:val="none"/>
              </w:rPr>
              <w:t xml:space="preserve">本项最多得1分（按所持学位证书的最高等级核算）。</w:t>
            </w:r>
            <w:r/>
          </w:p>
          <w:p>
            <w:pPr>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备注 ：</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提供职称证书原件扫描件、学位证书原件扫描件及由社保机构出具的供应商在自2026年1月以来任意一个月为其缴纳社保的相关证明材料扫描件加盖公章扫描上传至电子投标文件中。</w:t>
            </w:r>
            <w:r>
              <w:rPr>
                <w:rFonts w:hint="eastAsia" w:ascii="宋体" w:hAnsi="宋体" w:eastAsia="宋体" w:cs="宋体"/>
                <w:b/>
                <w:bCs/>
                <w:color w:val="auto"/>
                <w:sz w:val="21"/>
                <w:szCs w:val="21"/>
                <w:highlight w:val="none"/>
                <w:lang w:val="en-US" w:eastAsia="zh-CN"/>
              </w:rPr>
              <w:t xml:space="preserve">未</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或未按要求提供</w:t>
            </w:r>
            <w:r>
              <w:rPr>
                <w:rFonts w:hint="eastAsia" w:ascii="宋体" w:hAnsi="宋体" w:eastAsia="宋体" w:cs="宋体"/>
                <w:b/>
                <w:bCs/>
                <w:color w:val="auto"/>
                <w:sz w:val="21"/>
                <w:szCs w:val="21"/>
                <w:highlight w:val="none"/>
              </w:rPr>
              <w:t xml:space="preserve">不得分。</w:t>
            </w:r>
            <w:r/>
          </w:p>
        </w:tc>
        <w:tc>
          <w:tcPr>
            <w:shd w:val="clear" w:color="auto" w:fill="auto"/>
            <w:tcMar>
              <w:left w:w="96" w:type="dxa"/>
              <w:top w:w="96" w:type="dxa"/>
              <w:right w:w="96" w:type="dxa"/>
              <w:bottom w:w="96" w:type="dxa"/>
            </w:tcMar>
            <w:tcW w:w="626"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1"/>
                <w:szCs w:val="21"/>
                <w:highlight w:val="none"/>
              </w:rPr>
              <w:t xml:space="preserve">3</w:t>
            </w:r>
            <w:r/>
          </w:p>
        </w:tc>
      </w:tr>
      <w:tr>
        <w:trPr>
          <w:jc w:val="center"/>
          <w:trHeight w:val="1303"/>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5</w:t>
            </w:r>
            <w:r/>
          </w:p>
        </w:tc>
        <w:tc>
          <w:tcPr>
            <w:shd w:val="clear" w:color="auto" w:fill="auto"/>
            <w:tcMar>
              <w:left w:w="96" w:type="dxa"/>
              <w:top w:w="96" w:type="dxa"/>
              <w:right w:w="96" w:type="dxa"/>
              <w:bottom w:w="96" w:type="dxa"/>
            </w:tcMar>
            <w:tcW w:w="1771" w:type="dxa"/>
            <w:vAlign w:val="center"/>
            <w:textDirection w:val="lrTb"/>
            <w:noWrap w:val="false"/>
          </w:tcPr>
          <w:p>
            <w:pPr>
              <w:jc w:val="center"/>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项目团队成员（除项目负责人、技术负责人外）</w:t>
            </w:r>
            <w:r/>
          </w:p>
          <w:p>
            <w:pPr>
              <w:jc w:val="center"/>
              <w:rPr>
                <w:rFonts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1"/>
                <w:szCs w:val="21"/>
                <w:highlight w:val="none"/>
              </w:rPr>
            </w:r>
            <w:r/>
          </w:p>
        </w:tc>
        <w:tc>
          <w:tcPr>
            <w:shd w:val="clear" w:color="auto" w:fill="auto"/>
            <w:tcMar>
              <w:left w:w="96" w:type="dxa"/>
              <w:top w:w="96" w:type="dxa"/>
              <w:right w:w="96" w:type="dxa"/>
              <w:bottom w:w="96" w:type="dxa"/>
            </w:tcMar>
            <w:tcW w:w="5531" w:type="dxa"/>
            <w:vAlign w:val="center"/>
            <w:textDirection w:val="lrTb"/>
            <w:noWrap w:val="false"/>
          </w:tcPr>
          <w:p>
            <w:pPr>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项目团队成员具有环境类相关专业初级及以上职称的得</w:t>
            </w:r>
            <w:r>
              <w:rPr>
                <w:rFonts w:ascii="宋体" w:hAnsi="宋体" w:eastAsia="宋体" w:cs="宋体"/>
                <w:color w:val="auto"/>
                <w:sz w:val="21"/>
                <w:szCs w:val="21"/>
                <w:highlight w:val="none"/>
              </w:rPr>
              <w:t xml:space="preserve">1分/人，最多得2</w:t>
            </w:r>
            <w:r>
              <w:rPr>
                <w:rFonts w:hint="eastAsia" w:ascii="宋体" w:hAnsi="宋体" w:eastAsia="宋体" w:cs="宋体"/>
                <w:color w:val="auto"/>
                <w:sz w:val="21"/>
                <w:szCs w:val="21"/>
                <w:highlight w:val="none"/>
              </w:rPr>
              <w:t xml:space="preserve">分；具有环境类相关专业中级及以上工程师职称的得</w:t>
            </w:r>
            <w:r>
              <w:rPr>
                <w:rFonts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rPr>
              <w:t xml:space="preserve">分</w:t>
            </w:r>
            <w:r>
              <w:rPr>
                <w:rFonts w:ascii="宋体" w:hAnsi="宋体" w:eastAsia="宋体" w:cs="宋体"/>
                <w:color w:val="auto"/>
                <w:sz w:val="21"/>
                <w:szCs w:val="21"/>
                <w:highlight w:val="none"/>
              </w:rPr>
              <w:t xml:space="preserve">/人，最多得3</w:t>
            </w:r>
            <w:r>
              <w:rPr>
                <w:rFonts w:hint="eastAsia" w:ascii="宋体" w:hAnsi="宋体" w:eastAsia="宋体" w:cs="宋体"/>
                <w:color w:val="auto"/>
                <w:sz w:val="21"/>
                <w:szCs w:val="21"/>
                <w:highlight w:val="none"/>
              </w:rPr>
              <w:t xml:space="preserve">分；具有环境类相关专业高级及以上工程师职称的得</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分</w:t>
            </w:r>
            <w:r>
              <w:rPr>
                <w:rFonts w:ascii="宋体" w:hAnsi="宋体" w:eastAsia="宋体" w:cs="宋体"/>
                <w:color w:val="auto"/>
                <w:sz w:val="21"/>
                <w:szCs w:val="21"/>
                <w:highlight w:val="none"/>
              </w:rPr>
              <w:t xml:space="preserve">/人，最多得4</w:t>
            </w:r>
            <w:r>
              <w:rPr>
                <w:rFonts w:hint="eastAsia" w:ascii="宋体" w:hAnsi="宋体" w:eastAsia="宋体" w:cs="宋体"/>
                <w:color w:val="auto"/>
                <w:sz w:val="21"/>
                <w:szCs w:val="21"/>
                <w:highlight w:val="none"/>
              </w:rPr>
              <w:t xml:space="preserve">分。本项最高得</w:t>
            </w:r>
            <w:r>
              <w:rPr>
                <w:rFonts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t xml:space="preserve">分（</w:t>
            </w:r>
            <w:r>
              <w:rPr>
                <w:rFonts w:ascii="宋体" w:hAnsi="宋体" w:eastAsia="宋体" w:cs="宋体"/>
                <w:color w:val="auto"/>
                <w:sz w:val="21"/>
                <w:szCs w:val="21"/>
                <w:highlight w:val="none"/>
              </w:rPr>
              <w:t xml:space="preserve">1人仅按所持最高职称档次计分1次，</w:t>
            </w:r>
            <w:r>
              <w:rPr>
                <w:rFonts w:hint="eastAsia" w:ascii="宋体" w:hAnsi="宋体" w:eastAsia="宋体" w:cs="宋体"/>
                <w:color w:val="auto"/>
                <w:sz w:val="21"/>
                <w:szCs w:val="21"/>
                <w:highlight w:val="none"/>
              </w:rPr>
              <w:t xml:space="preserve">同一人不重复得分，如职称证书无法体现专业的，以毕业证书为准。）</w:t>
            </w:r>
            <w:r/>
          </w:p>
          <w:p>
            <w:pPr>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2）项目团队成员中具有一级建造师证书的，每有1人得2</w:t>
            </w:r>
            <w:r>
              <w:rPr>
                <w:rFonts w:hint="eastAsia" w:ascii="宋体" w:hAnsi="宋体" w:eastAsia="宋体" w:cs="宋体"/>
                <w:color w:val="auto"/>
                <w:sz w:val="21"/>
                <w:szCs w:val="21"/>
                <w:highlight w:val="none"/>
              </w:rPr>
              <w:t xml:space="preserve">分，最高得</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分；具有二级建造师证书的，每有</w:t>
            </w:r>
            <w:r>
              <w:rPr>
                <w:rFonts w:ascii="宋体" w:hAnsi="宋体" w:eastAsia="宋体" w:cs="宋体"/>
                <w:color w:val="auto"/>
                <w:sz w:val="21"/>
                <w:szCs w:val="21"/>
                <w:highlight w:val="none"/>
              </w:rPr>
              <w:t xml:space="preserve">1人得1</w:t>
            </w:r>
            <w:r>
              <w:rPr>
                <w:rFonts w:hint="eastAsia" w:ascii="宋体" w:hAnsi="宋体" w:eastAsia="宋体" w:cs="宋体"/>
                <w:color w:val="auto"/>
                <w:sz w:val="21"/>
                <w:szCs w:val="21"/>
                <w:highlight w:val="none"/>
              </w:rPr>
              <w:t xml:space="preserve">分，最高得</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分。本项最多得</w:t>
            </w: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分。（</w:t>
            </w:r>
            <w:r>
              <w:rPr>
                <w:rFonts w:ascii="宋体" w:hAnsi="宋体" w:eastAsia="宋体" w:cs="宋体"/>
                <w:color w:val="auto"/>
                <w:sz w:val="21"/>
                <w:szCs w:val="21"/>
                <w:highlight w:val="none"/>
              </w:rPr>
              <w:t xml:space="preserve">1人仅按所持最高</w:t>
            </w:r>
            <w:r>
              <w:rPr>
                <w:rFonts w:hint="eastAsia" w:ascii="宋体" w:hAnsi="宋体" w:eastAsia="宋体" w:cs="宋体"/>
                <w:color w:val="auto"/>
                <w:sz w:val="21"/>
                <w:szCs w:val="21"/>
                <w:highlight w:val="none"/>
                <w:lang w:val="en-US" w:eastAsia="zh-CN"/>
              </w:rPr>
              <w:t xml:space="preserve">证书</w:t>
            </w:r>
            <w:r>
              <w:rPr>
                <w:rFonts w:ascii="宋体" w:hAnsi="宋体" w:eastAsia="宋体" w:cs="宋体"/>
                <w:color w:val="auto"/>
                <w:sz w:val="21"/>
                <w:szCs w:val="21"/>
                <w:highlight w:val="none"/>
              </w:rPr>
              <w:t xml:space="preserve">档次计分1次，</w:t>
            </w:r>
            <w:r>
              <w:rPr>
                <w:rFonts w:hint="eastAsia" w:ascii="宋体" w:hAnsi="宋体" w:eastAsia="宋体" w:cs="宋体"/>
                <w:color w:val="auto"/>
                <w:sz w:val="21"/>
                <w:szCs w:val="21"/>
                <w:highlight w:val="none"/>
              </w:rPr>
              <w:t xml:space="preserve">同一人不重复得分）</w:t>
            </w:r>
            <w:r/>
          </w:p>
          <w:p>
            <w:pPr>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（3）项目团队成员中具有注册环保工程师证书或注册环评工程师证书，每有1人得2分。本项最高得4分。</w:t>
            </w:r>
            <w:r/>
          </w:p>
          <w:p>
            <w:pP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备注：以上（1）-(3)所有人员须提供相关证书原件扫描件及供应商为其缴纳的自2026年1月以来的任意一个月的社保缴纳证明材料扫描件加盖公章扫描上传至电子投标文件中</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以上</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lang w:eastAsia="zh-CN"/>
              </w:rPr>
              <w:t xml:space="preserve">团队成员若同时满足多项评审条件，可在各分项分别计取对应分值；仅单一项评审分项内，单人仅按最优条件计分，不重复累加。</w:t>
            </w:r>
            <w:r>
              <w:rPr>
                <w:rFonts w:hint="eastAsia" w:ascii="宋体" w:hAnsi="宋体" w:eastAsia="宋体" w:cs="宋体"/>
                <w:b/>
                <w:bCs/>
                <w:color w:val="auto"/>
                <w:sz w:val="21"/>
                <w:szCs w:val="21"/>
                <w:highlight w:val="none"/>
                <w:lang w:val="en-US" w:eastAsia="zh-CN"/>
              </w:rPr>
              <w:t xml:space="preserve">未</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或未按要求提供</w:t>
            </w:r>
            <w:r>
              <w:rPr>
                <w:rFonts w:hint="eastAsia" w:ascii="宋体" w:hAnsi="宋体" w:eastAsia="宋体" w:cs="宋体"/>
                <w:b/>
                <w:bCs/>
                <w:color w:val="auto"/>
                <w:sz w:val="21"/>
                <w:szCs w:val="21"/>
                <w:highlight w:val="none"/>
              </w:rPr>
              <w:t xml:space="preserve">不得分。</w:t>
            </w:r>
            <w:r/>
          </w:p>
        </w:tc>
        <w:tc>
          <w:tcPr>
            <w:shd w:val="clear" w:color="auto" w:fill="auto"/>
            <w:tcMar>
              <w:left w:w="96" w:type="dxa"/>
              <w:top w:w="96" w:type="dxa"/>
              <w:right w:w="96" w:type="dxa"/>
              <w:bottom w:w="96" w:type="dxa"/>
            </w:tcMar>
            <w:tcW w:w="626"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1"/>
                <w:szCs w:val="21"/>
                <w:highlight w:val="none"/>
              </w:rPr>
              <w:t xml:space="preserve">17</w:t>
            </w:r>
            <w:r/>
          </w:p>
        </w:tc>
      </w:tr>
      <w:tr>
        <w:trPr>
          <w:jc w:val="center"/>
          <w:trHeight w:val="342"/>
        </w:trPr>
        <w:tc>
          <w:tcPr>
            <w:shd w:val="clear" w:color="auto" w:fill="auto"/>
            <w:tcMar>
              <w:left w:w="96" w:type="dxa"/>
              <w:top w:w="96" w:type="dxa"/>
              <w:right w:w="96" w:type="dxa"/>
              <w:bottom w:w="96" w:type="dxa"/>
            </w:tcMar>
            <w:tcW w:w="594"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0"/>
                <w:highlight w:val="none"/>
              </w:rPr>
              <w:t xml:space="preserve">6</w:t>
            </w:r>
            <w:r/>
          </w:p>
        </w:tc>
        <w:tc>
          <w:tcPr>
            <w:shd w:val="clear" w:color="auto" w:fill="auto"/>
            <w:tcMar>
              <w:left w:w="96" w:type="dxa"/>
              <w:top w:w="96" w:type="dxa"/>
              <w:right w:w="96" w:type="dxa"/>
              <w:bottom w:w="96" w:type="dxa"/>
            </w:tcMar>
            <w:tcW w:w="1771"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对项目理解程度</w:t>
            </w:r>
            <w:r/>
          </w:p>
        </w:tc>
        <w:tc>
          <w:tcPr>
            <w:shd w:val="clear" w:color="auto" w:fill="auto"/>
            <w:tcMar>
              <w:left w:w="96" w:type="dxa"/>
              <w:top w:w="96" w:type="dxa"/>
              <w:right w:w="96" w:type="dxa"/>
              <w:bottom w:w="96" w:type="dxa"/>
            </w:tcMar>
            <w:tcW w:w="5531" w:type="dxa"/>
            <w:vAlign w:val="center"/>
            <w:textDirection w:val="lrTb"/>
            <w:noWrap w:val="false"/>
          </w:tcPr>
          <w:p>
            <w:pPr>
              <w:jc w:val="left"/>
              <w:spacing w:line="288" w:lineRule="atLeas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对本项目的理解熟悉程度，评委依据投标文件中针对本项目的①项目背景</w:t>
            </w:r>
            <w:r>
              <w:rPr>
                <w:rFonts w:hint="eastAsia" w:ascii="宋体" w:hAnsi="宋体" w:eastAsia="宋体" w:cs="宋体"/>
                <w:color w:val="auto"/>
                <w:sz w:val="22"/>
                <w:szCs w:val="22"/>
                <w:highlight w:val="none"/>
              </w:rPr>
              <w:t xml:space="preserve">情况</w:t>
            </w:r>
            <w:r>
              <w:rPr>
                <w:rFonts w:ascii="宋体" w:hAnsi="宋体" w:eastAsia="宋体" w:cs="宋体"/>
                <w:color w:val="auto"/>
                <w:sz w:val="22"/>
                <w:szCs w:val="22"/>
                <w:highlight w:val="none"/>
              </w:rPr>
              <w:t xml:space="preserve">、②地块情况、③项目实施内容、④工作目标的阐述内容进行综合评审打分。</w:t>
            </w:r>
            <w:r/>
          </w:p>
          <w:p>
            <w:pPr>
              <w:jc w:val="left"/>
              <w:spacing w:line="288" w:lineRule="atLeast"/>
              <w:widowControl/>
              <w:rPr>
                <w:rFonts w:ascii="宋体" w:hAnsi="宋体" w:eastAsia="宋体" w:cs="宋体"/>
                <w:color w:val="auto"/>
                <w:sz w:val="21"/>
                <w:szCs w:val="21"/>
                <w:highlight w:val="none"/>
              </w:rPr>
            </w:pPr>
            <w:r>
              <w:rPr>
                <w:rFonts w:ascii="宋体" w:hAnsi="宋体" w:eastAsia="宋体" w:cs="宋体"/>
                <w:b/>
                <w:bCs/>
                <w:color w:val="auto"/>
                <w:sz w:val="22"/>
                <w:szCs w:val="22"/>
                <w:highlight w:val="none"/>
              </w:rPr>
              <w:t xml:space="preserve">本项满分为 6 分，上述四个评审要点各占 1.5 分。投标文件缺少任一评审要点内容的，扣 1.5 分；任一评审要点的需求分析内容存在缺陷或不足的</w:t>
            </w:r>
            <w:r>
              <w:rPr>
                <w:rFonts w:hint="eastAsia" w:ascii="宋体" w:hAnsi="宋体" w:eastAsia="宋体" w:cs="宋体"/>
                <w:b/>
                <w:bCs/>
                <w:color w:val="auto"/>
                <w:sz w:val="21"/>
                <w:szCs w:val="21"/>
                <w:highlight w:val="none"/>
              </w:rPr>
              <w:t xml:space="preserve">（不符行业实际、政策要求、与项目实际存在偏差、表述过简、含无关内容、逻辑漏洞等）</w:t>
            </w:r>
            <w:r>
              <w:rPr>
                <w:rFonts w:ascii="宋体" w:hAnsi="宋体" w:eastAsia="宋体" w:cs="宋体"/>
                <w:b/>
                <w:bCs/>
                <w:color w:val="auto"/>
                <w:sz w:val="22"/>
                <w:szCs w:val="22"/>
                <w:highlight w:val="none"/>
              </w:rPr>
              <w:t xml:space="preserve">，每处扣 1 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6</w:t>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rPr>
                <w:rFonts w:ascii="宋体" w:hAnsi="宋体" w:eastAsia="宋体" w:cs="宋体"/>
                <w:color w:val="auto"/>
                <w:sz w:val="20"/>
                <w:highlight w:val="none"/>
              </w:rPr>
            </w:pPr>
            <w:r>
              <w:rPr>
                <w:rFonts w:hint="eastAsia" w:ascii="宋体" w:hAnsi="宋体" w:eastAsia="宋体" w:cs="宋体"/>
                <w:color w:val="auto"/>
                <w:sz w:val="20"/>
                <w:highlight w:val="none"/>
              </w:rPr>
              <w:t xml:space="preserve">7</w:t>
            </w:r>
            <w:r/>
          </w:p>
        </w:tc>
        <w:tc>
          <w:tcPr>
            <w:shd w:val="clear" w:color="auto" w:fill="auto"/>
            <w:tcMar>
              <w:left w:w="96" w:type="dxa"/>
              <w:top w:w="96" w:type="dxa"/>
              <w:right w:w="96" w:type="dxa"/>
              <w:bottom w:w="96" w:type="dxa"/>
            </w:tcMar>
            <w:tcW w:w="1771" w:type="dxa"/>
            <w:vAlign w:val="center"/>
            <w:textDirection w:val="lrTb"/>
            <w:noWrap w:val="false"/>
          </w:tcPr>
          <w:p>
            <w:pPr>
              <w:numPr>
                <w:ilvl w:val="255"/>
                <w:numId w:val="0"/>
              </w:num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本项目重点、难点分析</w:t>
            </w:r>
            <w:r/>
          </w:p>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widowControl/>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tc>
        <w:tc>
          <w:tcPr>
            <w:shd w:val="clear" w:color="auto" w:fill="auto"/>
            <w:tcMar>
              <w:left w:w="96" w:type="dxa"/>
              <w:top w:w="96" w:type="dxa"/>
              <w:right w:w="96" w:type="dxa"/>
              <w:bottom w:w="96" w:type="dxa"/>
            </w:tcMar>
            <w:tcW w:w="5531"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对本项目重点难点的研判能力，评委依据投标文件中针对①本项目重点的分析、②本项目难点的分析、③解决方案、④合理化建议的阐述内容进行综合评审打分。</w:t>
            </w:r>
            <w:r/>
          </w:p>
          <w:p>
            <w:pPr>
              <w:jc w:val="lef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本项满分为 6 分，上述四个评审要点各占 1.5 分。投标文件缺少任一评审要点内容的，扣 1.5 分；任一评审要点的需求分析内容存在缺陷或不足的（不符行业实际、政策要求、与项目实际存在偏差、表述过简、含无关内容、逻辑漏洞等），每处扣 1 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6</w:t>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8</w:t>
            </w:r>
            <w:r/>
          </w:p>
        </w:tc>
        <w:tc>
          <w:tcPr>
            <w:shd w:val="clear" w:color="auto" w:fill="auto"/>
            <w:tcMar>
              <w:left w:w="96" w:type="dxa"/>
              <w:top w:w="96" w:type="dxa"/>
              <w:right w:w="96" w:type="dxa"/>
              <w:bottom w:w="96" w:type="dxa"/>
            </w:tcMar>
            <w:tcW w:w="1771" w:type="dxa"/>
            <w:vAlign w:val="center"/>
            <w:textDirection w:val="lrTb"/>
            <w:noWrap w:val="false"/>
          </w:tcPr>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针对本项目微生物菌剂的实施方案</w:t>
            </w:r>
            <w:r/>
          </w:p>
        </w:tc>
        <w:tc>
          <w:tcPr>
            <w:shd w:val="clear" w:color="auto" w:fill="auto"/>
            <w:tcMar>
              <w:left w:w="96" w:type="dxa"/>
              <w:top w:w="96" w:type="dxa"/>
              <w:right w:w="96" w:type="dxa"/>
              <w:bottom w:w="96" w:type="dxa"/>
            </w:tcMar>
            <w:tcW w:w="5531"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生物菌剂实施方案的适配性与有效性，评委依据投标文件中针对本项目的①选用微生物菌剂的针对性、②与场地条件及特征污染物的匹配程度、③菌剂有效性的印证、④具体实施方案的阐述内容进行综合评审打分。</w:t>
            </w:r>
            <w:r/>
          </w:p>
          <w:p>
            <w:pPr>
              <w:jc w:val="lef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本项满分为 6 分，上述四个评审要点各占 1.5 分。投标文件缺少任一评审要点内容的，扣 1.5 分；任一评审要点的需求分析内容存在缺陷或不足的（不符行业实际、政策要求、与项目实际存在偏差、表述过简、含无关内容、逻辑漏洞等），每处扣 0.5 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0"/>
                <w:highlight w:val="none"/>
              </w:rPr>
              <w:t xml:space="preserve">6</w:t>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9</w:t>
            </w:r>
            <w:r/>
          </w:p>
        </w:tc>
        <w:tc>
          <w:tcPr>
            <w:shd w:val="clear" w:color="auto" w:fill="auto"/>
            <w:tcMar>
              <w:left w:w="96" w:type="dxa"/>
              <w:top w:w="96" w:type="dxa"/>
              <w:right w:w="96" w:type="dxa"/>
              <w:bottom w:w="96" w:type="dxa"/>
            </w:tcMar>
            <w:tcW w:w="1771"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本项目阻隔覆盖实施方案</w:t>
            </w:r>
            <w:r/>
          </w:p>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Mar>
              <w:left w:w="96" w:type="dxa"/>
              <w:top w:w="96" w:type="dxa"/>
              <w:right w:w="96" w:type="dxa"/>
              <w:bottom w:w="96" w:type="dxa"/>
            </w:tcMar>
            <w:tcW w:w="5531"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阻隔覆盖实施方案的科学性与可行性，评委依据投标文件中针对本项目的①阻隔覆盖方案（需详细阐述污染作用下阻隔墙工程的渗透系数性能）、②施工组织、③工艺工法的阐述内容进行综合评审打分。</w:t>
            </w:r>
            <w:r/>
          </w:p>
          <w:p>
            <w:pPr>
              <w:jc w:val="left"/>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本项满分为 6 分，上述三个评审要点各占 2 分。投标文件缺少任一评审要点内容的，扣 2 分；任一评审要点的需求分析内容存在缺陷或不足的（不符行业实际、政策要求、与项目实际存在偏差、表述过简、含无关内容、逻辑漏洞等），每处扣 1 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0"/>
                <w:highlight w:val="none"/>
              </w:rPr>
              <w:t xml:space="preserve">6</w:t>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10</w:t>
            </w:r>
            <w:r/>
          </w:p>
        </w:tc>
        <w:tc>
          <w:tcPr>
            <w:shd w:val="clear" w:color="auto" w:fill="auto"/>
            <w:tcMar>
              <w:left w:w="96" w:type="dxa"/>
              <w:top w:w="96" w:type="dxa"/>
              <w:right w:w="96" w:type="dxa"/>
              <w:bottom w:w="96" w:type="dxa"/>
            </w:tcMar>
            <w:tcW w:w="1771"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项目进度保证措施方案</w:t>
            </w:r>
            <w:r/>
          </w:p>
        </w:tc>
        <w:tc>
          <w:tcPr>
            <w:shd w:val="clear" w:color="auto" w:fill="auto"/>
            <w:tcMar>
              <w:left w:w="96" w:type="dxa"/>
              <w:top w:w="96" w:type="dxa"/>
              <w:right w:w="96" w:type="dxa"/>
              <w:bottom w:w="96" w:type="dxa"/>
            </w:tcMar>
            <w:tcW w:w="5531"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进度保证措施的合理性与可操作性，评委依据投标文件中针对本项目的①进度实施计划、②进度保证措施、③关键节点管控、④工期延误应对预案的阐述内容综合评审打分。</w:t>
            </w:r>
            <w:r/>
          </w:p>
          <w:p>
            <w:pPr>
              <w:jc w:val="left"/>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本项满分为 4 分，上述四个评审要点各占 1 分。投标文件缺少任一评审要点内容的，扣 1 分；任一评审要点的需求分析内容存在缺陷或不足的（不符行业实际、政策要求、与项目实际存在偏差、表述过简、含无关内容、逻辑漏洞等），每处扣 0.5分，本项分值扣完为止。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4</w:t>
            </w:r>
            <w:r/>
          </w:p>
          <w:p>
            <w:pPr>
              <w:jc w:val="center"/>
              <w:widowControl/>
              <w:rPr>
                <w:rFonts w:ascii="宋体" w:hAnsi="宋体" w:eastAsia="宋体" w:cs="宋体"/>
                <w:color w:val="auto"/>
                <w:sz w:val="20"/>
                <w:highlight w:val="none"/>
              </w:rPr>
            </w:pPr>
            <w:r>
              <w:rPr>
                <w:rFonts w:ascii="宋体" w:hAnsi="宋体" w:eastAsia="宋体" w:cs="宋体"/>
                <w:color w:val="auto"/>
                <w:sz w:val="20"/>
                <w:highlight w:val="none"/>
              </w:rPr>
            </w:r>
            <w:r/>
          </w:p>
          <w:p>
            <w:pPr>
              <w:jc w:val="center"/>
              <w:widowControl/>
              <w:rPr>
                <w:rFonts w:ascii="宋体" w:hAnsi="宋体" w:eastAsia="宋体" w:cs="宋体"/>
                <w:color w:val="auto"/>
                <w:sz w:val="20"/>
                <w:highlight w:val="none"/>
              </w:rPr>
            </w:pPr>
            <w:r>
              <w:rPr>
                <w:rFonts w:ascii="宋体" w:hAnsi="宋体" w:eastAsia="宋体" w:cs="宋体"/>
                <w:color w:val="auto"/>
                <w:sz w:val="20"/>
                <w:highlight w:val="none"/>
              </w:rPr>
            </w:r>
            <w:r/>
          </w:p>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ascii="宋体" w:hAnsi="宋体" w:eastAsia="宋体" w:cs="宋体"/>
                <w:b/>
                <w:color w:val="auto"/>
                <w:sz w:val="20"/>
                <w:highlight w:val="none"/>
              </w:rPr>
            </w:pPr>
            <w:r>
              <w:rPr>
                <w:rFonts w:hint="eastAsia" w:ascii="宋体" w:hAnsi="宋体" w:eastAsia="宋体" w:cs="宋体"/>
                <w:b/>
                <w:color w:val="auto"/>
                <w:sz w:val="20"/>
                <w:highlight w:val="none"/>
              </w:rPr>
              <w:t xml:space="preserve">11</w:t>
            </w:r>
            <w:r/>
          </w:p>
        </w:tc>
        <w:tc>
          <w:tcPr>
            <w:shd w:val="clear" w:color="auto" w:fill="auto"/>
            <w:tcMar>
              <w:left w:w="96" w:type="dxa"/>
              <w:top w:w="96" w:type="dxa"/>
              <w:right w:w="96" w:type="dxa"/>
              <w:bottom w:w="96" w:type="dxa"/>
            </w:tcMar>
            <w:tcW w:w="1771" w:type="dxa"/>
            <w:vAlign w:val="center"/>
            <w:textDirection w:val="lrTb"/>
            <w:noWrap w:val="false"/>
          </w:tcPr>
          <w:p>
            <w:pPr>
              <w:pStyle w:val="802"/>
              <w:jc w:val="center"/>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项目质量保证措施方案</w:t>
            </w:r>
            <w:r/>
          </w:p>
        </w:tc>
        <w:tc>
          <w:tcPr>
            <w:shd w:val="clear" w:color="auto" w:fill="auto"/>
            <w:tcMar>
              <w:left w:w="96" w:type="dxa"/>
              <w:top w:w="96" w:type="dxa"/>
              <w:right w:w="96" w:type="dxa"/>
              <w:bottom w:w="96" w:type="dxa"/>
            </w:tcMar>
            <w:tcW w:w="5531"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质量保证措施的完整性与可靠性，评委依据投标文件中针对本项目的①质量保证措施、②施工过程二次污染防治措施、③质量检验与验收标准、④原材料/设备质量管控的阐述内容综合评审打分。</w:t>
            </w:r>
            <w:r/>
          </w:p>
          <w:p>
            <w:pPr>
              <w:jc w:val="left"/>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本项满分为 4 分，上述四个评审要点各占 1 分。投标文件缺少任一评审要点内容的，扣 1 分；任一评审要点的需求分析内容存在缺陷或不足的（不符行业实际、政策要求、与项目实际存在偏差、表述过简、含无关内容、逻辑漏洞等），每处扣 0.5分，本项分值扣完为止。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0"/>
                <w:highlight w:val="none"/>
              </w:rPr>
              <w:t xml:space="preserve">4</w:t>
            </w:r>
            <w:r/>
          </w:p>
        </w:tc>
      </w:tr>
      <w:tr>
        <w:trPr>
          <w:jc w:val="center"/>
        </w:trPr>
        <w:tc>
          <w:tcPr>
            <w:shd w:val="clear" w:color="auto" w:fill="auto"/>
            <w:tcMar>
              <w:left w:w="96" w:type="dxa"/>
              <w:top w:w="96" w:type="dxa"/>
              <w:right w:w="96" w:type="dxa"/>
              <w:bottom w:w="96" w:type="dxa"/>
            </w:tcMar>
            <w:tcW w:w="594" w:type="dxa"/>
            <w:vAlign w:val="center"/>
            <w:textDirection w:val="lrTb"/>
            <w:noWrap w:val="false"/>
          </w:tcPr>
          <w:p>
            <w:pPr>
              <w:jc w:val="center"/>
              <w:widowControl/>
              <w:rPr>
                <w:rFonts w:hint="eastAsia" w:ascii="宋体" w:hAnsi="宋体" w:eastAsia="宋体" w:cs="宋体"/>
                <w:b/>
                <w:color w:val="auto"/>
                <w:sz w:val="20"/>
                <w:highlight w:val="none"/>
                <w:lang w:eastAsia="zh-CN"/>
              </w:rPr>
            </w:pPr>
            <w:r>
              <w:rPr>
                <w:rFonts w:hint="eastAsia" w:ascii="宋体" w:hAnsi="宋体" w:eastAsia="宋体" w:cs="宋体"/>
                <w:b/>
                <w:color w:val="auto"/>
                <w:sz w:val="20"/>
                <w:highlight w:val="none"/>
              </w:rPr>
              <w:t xml:space="preserve">1</w:t>
            </w:r>
            <w:r>
              <w:rPr>
                <w:rFonts w:hint="eastAsia" w:ascii="宋体" w:hAnsi="宋体" w:eastAsia="宋体" w:cs="宋体"/>
                <w:b/>
                <w:color w:val="auto"/>
                <w:sz w:val="20"/>
                <w:highlight w:val="none"/>
                <w:lang w:val="en-US" w:eastAsia="zh-CN"/>
              </w:rPr>
              <w:t xml:space="preserve">2</w:t>
            </w:r>
            <w:bookmarkStart w:id="66" w:name="_GoBack"/>
            <w:r/>
            <w:bookmarkEnd w:id="66"/>
            <w:r/>
            <w:r/>
          </w:p>
        </w:tc>
        <w:tc>
          <w:tcPr>
            <w:shd w:val="clear" w:color="auto" w:fill="auto"/>
            <w:tcMar>
              <w:left w:w="96" w:type="dxa"/>
              <w:top w:w="96" w:type="dxa"/>
              <w:right w:w="96" w:type="dxa"/>
              <w:bottom w:w="96" w:type="dxa"/>
            </w:tcMar>
            <w:tcW w:w="1771" w:type="dxa"/>
            <w:vAlign w:val="center"/>
            <w:textDirection w:val="lrTb"/>
            <w:noWrap w:val="false"/>
          </w:tcPr>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项目安全保障措施方案</w:t>
            </w:r>
            <w:r/>
          </w:p>
          <w:p>
            <w:pPr>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Mar>
              <w:left w:w="96" w:type="dxa"/>
              <w:top w:w="96" w:type="dxa"/>
              <w:right w:w="96" w:type="dxa"/>
              <w:bottom w:w="96" w:type="dxa"/>
            </w:tcMar>
            <w:tcW w:w="5531" w:type="dxa"/>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安全保障措施的全面性与针对性，评委依据投标文件中针对本项目的①安全风险分析措施（含场地安全管控）、②安全保障措施（含应急处置预案）的阐述内容进行综合评审打分。</w:t>
            </w:r>
            <w:r/>
          </w:p>
          <w:p>
            <w:pPr>
              <w:jc w:val="left"/>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本项满分为 4 分，上述两个评审要点各占 2 分。投标文件缺少任一评审要点内容的，扣 2 分；任一评审要点的需求分析内容存在缺陷或不足的（不符行业实际、政策要求、与项目实际存在偏差、表述过简、含无关内容、逻辑漏洞等），每处扣 1 分，本项分值扣完为止。</w:t>
            </w:r>
            <w:r/>
          </w:p>
        </w:tc>
        <w:tc>
          <w:tcPr>
            <w:shd w:val="clear" w:color="auto" w:fill="auto"/>
            <w:tcMar>
              <w:left w:w="96" w:type="dxa"/>
              <w:top w:w="96" w:type="dxa"/>
              <w:right w:w="96" w:type="dxa"/>
              <w:bottom w:w="96" w:type="dxa"/>
            </w:tcMar>
            <w:tcW w:w="626" w:type="dxa"/>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0"/>
                <w:highlight w:val="none"/>
              </w:rPr>
              <w:t xml:space="preserve">4</w:t>
            </w:r>
            <w:r/>
          </w:p>
        </w:tc>
      </w:tr>
    </w:tbl>
    <w:p>
      <w:pPr>
        <w:ind w:firstLine="480"/>
        <w:spacing w:before="18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注：1.上述投标文件中，证书或证明材料必须提供扫描件（加盖CA电子公章），如发现弄虚作假的，将按照本招标文件相关条款规定予以处理。</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2.评委依据招标文件载明的方法评分，评分四舍五入精确到小数点后两位。</w:t>
      </w:r>
      <w:r/>
    </w:p>
    <w:p>
      <w:pPr>
        <w:contextualSpacing/>
        <w:ind w:firstLine="482"/>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zh-CN"/>
        </w:rPr>
        <w:t xml:space="preserve">价格标</w:t>
      </w:r>
      <w:r>
        <w:rPr>
          <w:rFonts w:hint="eastAsia" w:ascii="宋体" w:hAnsi="宋体" w:eastAsia="宋体" w:cs="宋体"/>
          <w:b/>
          <w:color w:val="auto"/>
          <w:sz w:val="24"/>
          <w:szCs w:val="24"/>
          <w:highlight w:val="none"/>
        </w:rPr>
        <w:t xml:space="preserve">评分：（30分）</w:t>
      </w:r>
      <w:r/>
    </w:p>
    <w:p>
      <w:pPr>
        <w:contextualSpacing/>
        <w:ind w:firstLine="482"/>
        <w:spacing w:line="360" w:lineRule="auto"/>
        <w:tabs>
          <w:tab w:val="left" w:pos="338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1.本次项目最高限价698万元；投标报价超过此最高限价为无效投标。</w:t>
      </w:r>
      <w:r/>
    </w:p>
    <w:p>
      <w:pPr>
        <w:contextualSpacing/>
        <w:ind w:firstLine="482"/>
        <w:spacing w:line="360" w:lineRule="auto"/>
        <w:tabs>
          <w:tab w:val="left" w:pos="338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2.满足招标文件要求且投标报价最低的报价为评标基准价，其价格标得分为满分30分。</w:t>
      </w:r>
      <w:r/>
    </w:p>
    <w:p>
      <w:pPr>
        <w:contextualSpacing/>
        <w:ind w:firstLine="482"/>
        <w:spacing w:line="360" w:lineRule="auto"/>
        <w:tabs>
          <w:tab w:val="left" w:pos="338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3.其他投标人的价格标得分按照下列公式计算（计算结果四舍五入保留两位小数）：</w:t>
      </w:r>
      <w:r/>
    </w:p>
    <w:p>
      <w:pPr>
        <w:contextualSpacing/>
        <w:ind w:firstLine="482"/>
        <w:spacing w:line="360" w:lineRule="auto"/>
        <w:tabs>
          <w:tab w:val="left" w:pos="3380" w:leader="none"/>
        </w:tabs>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价格标得分 =（评标基准价/投标报价）×30%×100。</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（三）政府采购政策功能落实</w:t>
      </w:r>
      <w:r/>
    </w:p>
    <w:p>
      <w:pPr>
        <w:pStyle w:val="1368"/>
        <w:ind w:firstLine="480"/>
        <w:spacing w:before="0" w:beforeAutospacing="0" w:after="0" w:afterAutospacing="0" w:line="360" w:lineRule="auto"/>
        <w:rPr>
          <w:rFonts w:hint="default" w:eastAsia="宋体" w:cs="宋体"/>
          <w:b/>
          <w:bCs/>
          <w:color w:val="auto"/>
          <w:szCs w:val="24"/>
          <w:highlight w:val="none"/>
        </w:rPr>
      </w:pPr>
      <w:r>
        <w:rPr>
          <w:rFonts w:eastAsia="宋体" w:cs="宋体"/>
          <w:color w:val="auto"/>
          <w:szCs w:val="24"/>
          <w:highlight w:val="none"/>
        </w:rPr>
        <w:t xml:space="preserve">本项目采购标的对应的中小企业划分标准所属行业为</w:t>
      </w:r>
      <w:r>
        <w:rPr>
          <w:rFonts w:eastAsia="宋体" w:cs="宋体"/>
          <w:b/>
          <w:bCs/>
          <w:color w:val="auto"/>
          <w:szCs w:val="24"/>
          <w:highlight w:val="none"/>
          <w:u w:val="single"/>
        </w:rPr>
        <w:t xml:space="preserve">其他未列明行业</w:t>
      </w:r>
      <w:r>
        <w:rPr>
          <w:rFonts w:eastAsia="宋体" w:cs="宋体"/>
          <w:color w:val="auto"/>
          <w:szCs w:val="24"/>
          <w:highlight w:val="none"/>
        </w:rPr>
        <w:t xml:space="preserve">。</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（1）本项目对小型和微型企业产品给予</w:t>
      </w:r>
      <w:r>
        <w:rPr>
          <w:rFonts w:hint="eastAsia" w:ascii="宋体" w:hAnsi="宋体" w:eastAsia="宋体" w:cs="宋体"/>
          <w:b/>
          <w:color w:val="auto"/>
          <w:sz w:val="24"/>
          <w:szCs w:val="24"/>
          <w:highlight w:val="none"/>
        </w:rPr>
        <w:t xml:space="preserve">10%</w:t>
      </w:r>
      <w:r>
        <w:rPr>
          <w:rFonts w:hint="eastAsia" w:ascii="宋体" w:hAnsi="宋体" w:eastAsia="宋体" w:cs="宋体"/>
          <w:bCs/>
          <w:color w:val="auto"/>
          <w:sz w:val="24"/>
          <w:szCs w:val="24"/>
          <w:highlight w:val="none"/>
        </w:rPr>
        <w:t xml:space="preserve">的扣除价格，用扣除后的价格参与评审。</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（2）供应商需按照《政府采购促进中小企业发展管理办法》（财库﹝2020﹞46 号）的规定提供相应的《中小企业声明函》。</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（3）企业标准请参照《关于印发中小企业划型标准规定的通知》（工信部联企业[2011]300号）文件规定自行填写。</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（1）本项目对残疾人福利性单位，给予</w:t>
      </w:r>
      <w:r>
        <w:rPr>
          <w:rFonts w:hint="eastAsia" w:ascii="宋体" w:hAnsi="宋体" w:eastAsia="宋体" w:cs="宋体"/>
          <w:b/>
          <w:color w:val="auto"/>
          <w:sz w:val="24"/>
          <w:szCs w:val="24"/>
          <w:highlight w:val="none"/>
        </w:rPr>
        <w:t xml:space="preserve">10%</w:t>
      </w:r>
      <w:r>
        <w:rPr>
          <w:rFonts w:hint="eastAsia" w:ascii="宋体" w:hAnsi="宋体" w:eastAsia="宋体" w:cs="宋体"/>
          <w:bCs/>
          <w:color w:val="auto"/>
          <w:sz w:val="24"/>
          <w:szCs w:val="24"/>
          <w:highlight w:val="none"/>
        </w:rPr>
        <w:t xml:space="preserve">的价格扣除，用扣除后的价格参与评审。</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（1）本项目对监狱和戒毒企业（简称监狱企业）给予</w:t>
      </w:r>
      <w:r>
        <w:rPr>
          <w:rFonts w:hint="eastAsia" w:ascii="宋体" w:hAnsi="宋体" w:eastAsia="宋体" w:cs="宋体"/>
          <w:b/>
          <w:color w:val="auto"/>
          <w:sz w:val="24"/>
          <w:szCs w:val="24"/>
          <w:highlight w:val="none"/>
        </w:rPr>
        <w:t xml:space="preserve">10%</w:t>
      </w:r>
      <w:r>
        <w:rPr>
          <w:rFonts w:hint="eastAsia" w:ascii="宋体" w:hAnsi="宋体" w:eastAsia="宋体" w:cs="宋体"/>
          <w:bCs/>
          <w:color w:val="auto"/>
          <w:sz w:val="24"/>
          <w:szCs w:val="24"/>
          <w:highlight w:val="none"/>
        </w:rPr>
        <w:t xml:space="preserve">的价格扣除，用扣除后的价格参与评审。</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（3）监狱企业标准请参照《关于政府采购支持监狱企业发展有关问题的通知》（财库[2014]68号）。</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57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6、联合体各方均为小型、微型企业（残疾人福利单位、监狱企业）的，联合体享受上述同类价格扣除，用扣除后的价格参与评审。</w:t>
      </w:r>
      <w:r/>
    </w:p>
    <w:p>
      <w:pPr>
        <w:ind w:firstLine="57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7、专门面向中小企业采购的项目或者采购包，不再执行价格评审优惠的扶持政策。</w:t>
      </w:r>
      <w:r/>
    </w:p>
    <w:p>
      <w:pPr>
        <w:ind w:firstLine="570"/>
        <w:spacing w:line="360" w:lineRule="auto"/>
        <w:rPr>
          <w:rFonts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注明：本项目执行价格评审优惠的扶持政策。</w:t>
      </w:r>
      <w:r/>
    </w:p>
    <w:p>
      <w:pPr>
        <w:numPr>
          <w:ilvl w:val="0"/>
          <w:numId w:val="6"/>
        </w:num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根据《江苏省政府采购信用管理暂行办法》的规定，供应商信用评价结果为三星的扣2分，评价结果为二星的扣3分，评价结果为一星的扣4分。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（四）中标人的确定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招标人委托评标委员会直接确定中标人。</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九、评标争议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评标时评委对评标的细则若有争议，由评标委员会评委集体讨论确定，并对未尽情况有最终解释权。</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十、落标原因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评标委员会不对落标的投标人做落标原因的解释。</w:t>
      </w:r>
      <w:bookmarkEnd w:id="9"/>
      <w:r/>
      <w:r/>
    </w:p>
    <w:p>
      <w:pPr>
        <w:ind w:firstLine="480"/>
        <w:jc w:val="left"/>
        <w:spacing w:line="360" w:lineRule="auto"/>
        <w:rPr>
          <w:rFonts w:ascii="宋体" w:hAnsi="宋体" w:eastAsia="宋体" w:cs="宋体"/>
          <w:color w:val="auto"/>
          <w:szCs w:val="21"/>
          <w:highlight w:val="none"/>
        </w:rPr>
        <w:sectPr>
          <w:headerReference w:type="default" r:id="rId12"/>
          <w:footnotePr/>
          <w:endnotePr/>
          <w:type w:val="nextPage"/>
          <w:pgSz w:w="11905" w:h="16838" w:orient="portrait"/>
          <w:pgMar w:top="1440" w:right="1519" w:bottom="1440" w:left="1519" w:header="850" w:footer="992" w:gutter="0"/>
          <w:cols w:num="1" w:sep="0" w:space="1701" w:equalWidth="1"/>
          <w:docGrid w:linePitch="360"/>
        </w:sectPr>
      </w:pPr>
      <w:r>
        <w:rPr>
          <w:rFonts w:ascii="宋体" w:hAnsi="宋体" w:eastAsia="宋体" w:cs="宋体"/>
          <w:color w:val="auto"/>
          <w:szCs w:val="21"/>
          <w:highlight w:val="none"/>
        </w:rPr>
      </w:r>
      <w:r/>
    </w:p>
    <w:p>
      <w:pPr>
        <w:jc w:val="center"/>
        <w:spacing w:line="360" w:lineRule="auto"/>
        <w:tabs>
          <w:tab w:val="left" w:pos="1050" w:leader="none"/>
          <w:tab w:val="right" w:pos="9402" w:leader="dot"/>
        </w:tabs>
        <w:rPr>
          <w:rFonts w:ascii="宋体" w:hAnsi="宋体" w:eastAsia="宋体" w:cs="宋体"/>
          <w:b/>
          <w:color w:val="auto"/>
          <w:sz w:val="36"/>
          <w:szCs w:val="36"/>
          <w:highlight w:val="none"/>
        </w:rPr>
        <w:outlineLvl w:val="0"/>
      </w:pPr>
      <w:r/>
      <w:bookmarkStart w:id="12" w:name="_Toc363573857"/>
      <w:r/>
      <w:bookmarkStart w:id="13" w:name="_Toc363573859"/>
      <w:r>
        <w:rPr>
          <w:rFonts w:hint="eastAsia" w:ascii="宋体" w:hAnsi="宋体" w:eastAsia="宋体" w:cs="宋体"/>
          <w:b/>
          <w:color w:val="auto"/>
          <w:sz w:val="36"/>
          <w:szCs w:val="36"/>
          <w:highlight w:val="none"/>
        </w:rPr>
        <w:t xml:space="preserve">第五章 合同主要条款</w:t>
      </w:r>
      <w:bookmarkEnd w:id="12"/>
      <w:r/>
      <w:r/>
    </w:p>
    <w:p>
      <w:pPr>
        <w:ind w:firstLine="420"/>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tbl>
      <w:tblPr>
        <w:tblStyle w:val="79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040"/>
        <w:gridCol w:w="5040"/>
      </w:tblGrid>
      <w:tr>
        <w:trPr/>
        <w:tc>
          <w:tcPr>
            <w:tcW w:w="5040" w:type="dxa"/>
            <w:textDirection w:val="lrTb"/>
            <w:noWrap/>
          </w:tcPr>
          <w:p>
            <w:pPr>
              <w:ind w:firstLine="420"/>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甲方（买方）：</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统一社会信用代码：</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法定代表人：</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地址：</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联系人：</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联系电话：</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电子邮箱：</w:t>
            </w:r>
            <w:r/>
          </w:p>
          <w:p>
            <w:pPr>
              <w:ind w:firstLine="420"/>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W w:w="5040" w:type="dxa"/>
            <w:textDirection w:val="lrTb"/>
            <w:noWrap/>
          </w:tcPr>
          <w:p>
            <w:pPr>
              <w:ind w:firstLine="420"/>
              <w:spacing w:line="360" w:lineRule="auto"/>
              <w:widowControl/>
              <w:tabs>
                <w:tab w:val="left" w:pos="6237"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地址：</w:t>
            </w:r>
            <w:r/>
          </w:p>
        </w:tc>
      </w:tr>
      <w:tr>
        <w:trPr/>
        <w:tc>
          <w:tcPr>
            <w:tcW w:w="5040" w:type="dxa"/>
            <w:textDirection w:val="lrTb"/>
            <w:noWrap/>
          </w:tcPr>
          <w:p>
            <w:pPr>
              <w:ind w:firstLine="420"/>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乙方（卖方）：</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统一社会信用代码：</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法定代表人：</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地址：</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联系人：</w:t>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联系电话：</w:t>
            </w:r>
            <w:r/>
          </w:p>
          <w:p>
            <w:pPr>
              <w:ind w:firstLine="420"/>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eastAsia="zh-CN"/>
              </w:rPr>
              <w:t xml:space="preserve">电子邮箱：</w:t>
            </w:r>
            <w:r/>
          </w:p>
        </w:tc>
        <w:tc>
          <w:tcPr>
            <w:tcW w:w="5040" w:type="dxa"/>
            <w:textDirection w:val="lrTb"/>
            <w:noWrap/>
          </w:tcPr>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地址：</w:t>
            </w:r>
            <w:bookmarkStart w:id="14" w:name="auto_fouce_1"/>
            <w:r/>
            <w:bookmarkEnd w:id="14"/>
            <w:r/>
            <w:r/>
          </w:p>
          <w:p>
            <w:pPr>
              <w:ind w:firstLine="420"/>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r>
            <w:r/>
          </w:p>
        </w:tc>
      </w:tr>
      <w:tr>
        <w:trPr/>
        <w:tc>
          <w:tcPr>
            <w:tcW w:w="5040" w:type="dxa"/>
            <w:textDirection w:val="lrTb"/>
            <w:noWrap/>
          </w:tcPr>
          <w:p>
            <w:pPr>
              <w:ind w:firstLine="420"/>
              <w:spacing w:line="360" w:lineRule="auto"/>
              <w:widowControl/>
              <w:tabs>
                <w:tab w:val="left" w:pos="6237"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签订时间：</w:t>
            </w:r>
            <w:r/>
          </w:p>
        </w:tc>
        <w:tc>
          <w:tcPr>
            <w:tcW w:w="5040" w:type="dxa"/>
            <w:textDirection w:val="lrTb"/>
            <w:noWrap/>
          </w:tcPr>
          <w:p>
            <w:pPr>
              <w:ind w:firstLine="420"/>
              <w:spacing w:line="360" w:lineRule="auto"/>
              <w:widowControl/>
              <w:tabs>
                <w:tab w:val="left" w:pos="6237"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签订地点：</w:t>
            </w:r>
            <w:r/>
          </w:p>
        </w:tc>
      </w:tr>
    </w:tbl>
    <w:p>
      <w:pPr>
        <w:ind w:firstLine="420"/>
        <w:spacing w:line="360" w:lineRule="auto"/>
        <w:widowControl/>
        <w:tabs>
          <w:tab w:val="left" w:pos="6237"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根据采购编号政府采购文件及中标单位的投标文件和中标通知书，甲乙双方就甲方聘用乙方从事</w:t>
      </w:r>
      <w:r>
        <w:rPr>
          <w:rFonts w:hint="eastAsia" w:ascii="宋体" w:hAnsi="宋体" w:eastAsia="宋体" w:cs="宋体"/>
          <w:color w:val="auto"/>
          <w:sz w:val="24"/>
          <w:szCs w:val="24"/>
          <w:highlight w:val="none"/>
          <w:u w:val="single"/>
        </w:rPr>
        <w:t xml:space="preserve">项目采购包</w:t>
      </w:r>
      <w:r>
        <w:rPr>
          <w:rFonts w:hint="eastAsia" w:ascii="宋体" w:hAnsi="宋体" w:eastAsia="宋体" w:cs="宋体"/>
          <w:color w:val="auto"/>
          <w:sz w:val="24"/>
          <w:szCs w:val="24"/>
          <w:highlight w:val="none"/>
        </w:rPr>
        <w:t xml:space="preserve">工作，签订本合同书。</w:t>
      </w:r>
      <w:r/>
    </w:p>
    <w:p>
      <w:pPr>
        <w:ind w:firstLine="422"/>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一、定义：</w:t>
      </w:r>
      <w:r/>
    </w:p>
    <w:p>
      <w:pPr>
        <w:ind w:firstLine="422"/>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以下术语有特定的含义：</w:t>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服务是指根据合同规定乙方应承担等工作和合同中规定乙方应承担的其它义务。</w:t>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合同价款是指根据中标单位的响应文件和合同规定，乙方在正确地履行合同义务后甲方应支付给乙方的价款。</w:t>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甲方是指合同中明确规定的实际购买和接受服务的单位。</w:t>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乙方是指合同中规定的提供服务的单位。</w:t>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widowControl/>
        <w:tabs>
          <w:tab w:val="left" w:pos="567" w:leader="none"/>
        </w:tabs>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二、合同价格：</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bookmarkStart w:id="15" w:name="tip_risk_bookmark_2"/>
      <w:r>
        <w:rPr>
          <w:rFonts w:hint="eastAsia" w:ascii="宋体" w:hAnsi="宋体" w:eastAsia="宋体" w:cs="宋体"/>
          <w:color w:val="auto"/>
          <w:sz w:val="24"/>
          <w:szCs w:val="24"/>
          <w:highlight w:val="none"/>
        </w:rPr>
        <w:t xml:space="preserve">合同总价为：</w:t>
      </w:r>
      <w:r>
        <w:rPr>
          <w:rFonts w:hint="eastAsia" w:ascii="宋体" w:hAnsi="宋体" w:eastAsia="宋体" w:cs="宋体"/>
          <w:color w:val="auto"/>
          <w:sz w:val="24"/>
          <w:szCs w:val="24"/>
          <w:highlight w:val="none"/>
          <w:u w:val="single"/>
        </w:rPr>
        <w:t xml:space="preserve"> （大写）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（小写）  </w:t>
      </w:r>
      <w:r>
        <w:rPr>
          <w:rFonts w:hint="eastAsia" w:ascii="宋体" w:hAnsi="宋体" w:eastAsia="宋体" w:cs="宋体"/>
          <w:color w:val="auto"/>
          <w:sz w:val="24"/>
          <w:szCs w:val="24"/>
          <w:highlight w:val="none"/>
        </w:rPr>
        <w:t xml:space="preserve">元。合同价格包含完成本项目全部服务内容所需的人工费、工程措施费、文明施工费、材料费、现场采样费、样品检测分析费、评估报告编制费、管控或修复技术方案设计费、专家评审费、差旅食宿费、文印费、资料费、通讯、工器具、设备、加班费、管理费、保险、劳保、专利技术等全部费用以及投标单位企业利润、税金和政策性文件规定及合同包含的所有风险、责任等各项应有费用。同时，除非合同条款中另有规定，否则，在合同实施期间不因市场变化因素而变动，未经甲方书面确认，甲方不再另行支付其他任何费用。</w:t>
      </w:r>
      <w:bookmarkEnd w:id="15"/>
      <w:r/>
      <w:r/>
    </w:p>
    <w:p>
      <w:pPr>
        <w:ind w:firstLine="420"/>
        <w:spacing w:line="360" w:lineRule="auto"/>
        <w:widowControl/>
        <w:tabs>
          <w:tab w:val="left" w:pos="567"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1.2根据现行税法对甲方征收的与本合同有关的一切税费均由甲方承担；根据现行税法对乙方征收的与本合同有关的一切税费均由乙方承担。</w:t>
      </w:r>
      <w:r/>
    </w:p>
    <w:p>
      <w:pPr>
        <w:pStyle w:val="1032"/>
        <w:ind w:firstLine="422"/>
        <w:rPr>
          <w:b/>
          <w:color w:val="auto"/>
          <w:highlight w:val="none"/>
        </w:rPr>
      </w:pPr>
      <w:r>
        <w:rPr>
          <w:rFonts w:hint="eastAsia"/>
          <w:b/>
          <w:color w:val="auto"/>
          <w:highlight w:val="none"/>
        </w:rPr>
        <w:t xml:space="preserve">三、服务内容及期限：</w:t>
      </w:r>
      <w:r/>
    </w:p>
    <w:p>
      <w:pPr>
        <w:pStyle w:val="1032"/>
        <w:ind w:firstLine="420"/>
        <w:rPr>
          <w:color w:val="auto"/>
          <w:highlight w:val="none"/>
        </w:rPr>
      </w:pPr>
      <w:r>
        <w:rPr>
          <w:rFonts w:hint="eastAsia"/>
          <w:color w:val="auto"/>
          <w:highlight w:val="none"/>
        </w:rPr>
        <w:t xml:space="preserve">3.1</w:t>
      </w:r>
      <w:bookmarkStart w:id="16" w:name="tip_risk_bookmark_3"/>
      <w:r>
        <w:rPr>
          <w:rFonts w:hint="eastAsia"/>
          <w:color w:val="auto"/>
          <w:highlight w:val="none"/>
        </w:rPr>
        <w:t xml:space="preserve">服务内容：</w:t>
      </w:r>
      <w:r>
        <w:rPr>
          <w:rFonts w:hint="eastAsia"/>
          <w:b/>
          <w:bCs/>
          <w:color w:val="auto"/>
          <w:highlight w:val="none"/>
        </w:rPr>
        <w:t xml:space="preserve">（根据项目需求内容制定）</w:t>
      </w:r>
      <w:bookmarkEnd w:id="16"/>
      <w:r/>
      <w:r/>
    </w:p>
    <w:p>
      <w:pPr>
        <w:ind w:firstLine="480"/>
        <w:jc w:val="left"/>
        <w:spacing w:line="452"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bookmarkStart w:id="17" w:name="tip_risk_bookmark_4"/>
      <w:r>
        <w:rPr>
          <w:rFonts w:hint="eastAsia" w:ascii="宋体" w:hAnsi="宋体" w:eastAsia="宋体" w:cs="宋体"/>
          <w:color w:val="auto"/>
          <w:sz w:val="24"/>
          <w:szCs w:val="24"/>
          <w:highlight w:val="none"/>
        </w:rPr>
        <w:t xml:space="preserve">服务期限：自本项目启动之日起，至效果评估通过生态环境主管部门组织或参与的专家评审（其中启动日期以委托人要求为准，管控工期为180 日历天），须完成场地围挡、TRD 工法阻隔墙施工、微生物衰减作业等全部管控范围内工作内容）。</w:t>
      </w:r>
      <w:bookmarkEnd w:id="17"/>
      <w:r/>
      <w:r/>
    </w:p>
    <w:p>
      <w:pPr>
        <w:ind w:firstLine="420"/>
        <w:spacing w:line="360" w:lineRule="auto"/>
        <w:widowControl/>
        <w:tabs>
          <w:tab w:val="left" w:pos="567"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3.3服务地点：采购人指定。</w:t>
      </w:r>
      <w:r/>
    </w:p>
    <w:p>
      <w:pPr>
        <w:ind w:firstLine="422"/>
        <w:spacing w:line="360" w:lineRule="auto"/>
        <w:widowControl/>
        <w:tabs>
          <w:tab w:val="left" w:pos="567"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四、合同价格支付及履约保证金：</w:t>
      </w:r>
      <w:r/>
    </w:p>
    <w:p>
      <w:pPr>
        <w:pStyle w:val="987"/>
        <w:ind w:firstLine="562"/>
        <w:jc w:val="both"/>
        <w:spacing w:line="460" w:lineRule="exact"/>
        <w:rPr>
          <w:rFonts w:ascii="宋体" w:hAnsi="宋体" w:eastAsia="宋体" w:cs="宋体"/>
          <w:color w:val="auto"/>
          <w:highlight w:val="none"/>
        </w:rPr>
      </w:pPr>
      <w:r>
        <w:rPr>
          <w:rFonts w:hint="eastAsia" w:ascii="宋体" w:hAnsi="宋体" w:eastAsia="宋体" w:cs="宋体"/>
          <w:color w:val="auto"/>
          <w:highlight w:val="none"/>
        </w:rPr>
        <w:t xml:space="preserve">4.1</w:t>
      </w:r>
      <w:bookmarkStart w:id="18" w:name="tip_risk_bookmark_5"/>
      <w:r>
        <w:rPr>
          <w:rFonts w:hint="eastAsia" w:ascii="宋体" w:hAnsi="宋体" w:eastAsia="宋体" w:cs="宋体"/>
          <w:color w:val="auto"/>
          <w:highlight w:val="none"/>
        </w:rPr>
        <w:t xml:space="preserve">项目付款方式：本管控工程（180日历天）施工结束，乙方递交完整的施工资料并经</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确认后，支付合同总价的50%；项目完成效果评估且评估报告通过生态环境主管部门组织或参与的专家评审，支付合同总价的20%；效果评估通过专家评审且</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委托审计单位审计完成后付至审计价的95%，余款在项目审计完成后的12个月内付清。</w:t>
      </w:r>
      <w:bookmarkEnd w:id="18"/>
      <w:r/>
      <w:r/>
    </w:p>
    <w:p>
      <w:pPr>
        <w:ind w:firstLine="56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注：若最终审定价高于合同价，超出部分</w:t>
      </w:r>
      <w:r>
        <w:rPr>
          <w:rFonts w:hint="eastAsia" w:ascii="宋体" w:hAnsi="宋体" w:eastAsia="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rPr>
        <w:t xml:space="preserve">不予支付。</w:t>
      </w:r>
      <w:r>
        <w:rPr>
          <w:rFonts w:hint="eastAsia" w:ascii="宋体" w:hAnsi="宋体" w:eastAsia="宋体" w:cs="宋体"/>
          <w:b/>
          <w:bCs/>
          <w:color w:val="auto"/>
          <w:sz w:val="24"/>
          <w:szCs w:val="24"/>
          <w:highlight w:val="none"/>
          <w:lang w:val="en-US" w:eastAsia="zh-CN"/>
        </w:rPr>
        <w:t xml:space="preserve">乙方</w:t>
      </w:r>
      <w:r>
        <w:rPr>
          <w:rFonts w:hint="eastAsia" w:ascii="宋体" w:hAnsi="宋体" w:eastAsia="宋体" w:cs="宋体"/>
          <w:b/>
          <w:bCs/>
          <w:color w:val="auto"/>
          <w:sz w:val="24"/>
          <w:szCs w:val="24"/>
          <w:highlight w:val="none"/>
        </w:rPr>
        <w:t xml:space="preserve">应充分考量该部分成本风险。</w:t>
      </w:r>
      <w:r/>
    </w:p>
    <w:p>
      <w:pPr>
        <w:ind w:firstLine="480"/>
        <w:spacing w:line="360" w:lineRule="auto"/>
        <w:widowControl/>
        <w:tabs>
          <w:tab w:val="left" w:pos="567"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4.2支付方式：以甲方确认的为准。</w:t>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4.3履约保证金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9" w:name="tip_risk_bookmark_6"/>
      <w:r>
        <w:rPr>
          <w:rFonts w:hint="eastAsia" w:ascii="宋体" w:hAnsi="宋体" w:eastAsia="宋体" w:cs="宋体"/>
          <w:color w:val="auto"/>
          <w:sz w:val="24"/>
          <w:szCs w:val="24"/>
          <w:highlight w:val="none"/>
        </w:rPr>
        <w:t xml:space="preserve">本项目中标后的履约保证金为</w:t>
      </w:r>
      <w:r>
        <w:rPr>
          <w:rFonts w:hint="eastAsia" w:ascii="宋体" w:hAnsi="宋体" w:eastAsia="宋体" w:cs="宋体"/>
          <w:b/>
          <w:bCs/>
          <w:color w:val="auto"/>
          <w:sz w:val="24"/>
          <w:szCs w:val="24"/>
          <w:highlight w:val="none"/>
          <w:u w:val="single"/>
        </w:rPr>
        <w:t xml:space="preserve">      元</w:t>
      </w:r>
      <w:r>
        <w:rPr>
          <w:rFonts w:hint="eastAsia" w:ascii="宋体" w:hAnsi="宋体" w:eastAsia="宋体" w:cs="宋体"/>
          <w:color w:val="auto"/>
          <w:sz w:val="24"/>
          <w:szCs w:val="24"/>
          <w:highlight w:val="none"/>
        </w:rPr>
        <w:t xml:space="preserve">，乙方可以选择以支票、汇票、本票、保单、保函等非现金形式缴纳。</w:t>
      </w:r>
      <w:bookmarkEnd w:id="1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2.中标人须凭“中标通知书”和“履约保证金”缴纳凭证，30日内与甲方签订合同。超期或未有协商，则视为自动放弃中标资格。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3.服务期满并按规定时间、规定要求完成交接后甲方将返还该履约保证金。</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4.发生以下情况的，履约保证金不予退还或部分退还：</w:t>
      </w:r>
      <w:r/>
    </w:p>
    <w:p>
      <w:pPr>
        <w:contextualSpacing/>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（1）签订合同后，乙方不履行合同义务的，甲方有权全额扣除履约保证金，全额不予退还，同时甲方亦有权终止合同，乙方还须承担相应的法律赔偿责任。</w:t>
      </w:r>
      <w:r/>
    </w:p>
    <w:p>
      <w:pPr>
        <w:contextualSpacing/>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（2）乙方在履约过程中发生违约行为，给甲方造成损失的，甲方有权在中标人缴纳的履约保证金中予以扣款，以弥补甲方经济损失，不足的部分乙方另外补齐。</w:t>
      </w:r>
      <w:r/>
    </w:p>
    <w:p>
      <w:pPr>
        <w:ind w:firstLine="422"/>
        <w:jc w:val="left"/>
        <w:spacing w:line="360" w:lineRule="auto"/>
        <w:widowControl/>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五、权利与义务：</w:t>
      </w:r>
      <w:r/>
    </w:p>
    <w:p>
      <w:pPr>
        <w:ind w:firstLine="420"/>
        <w:spacing w:line="360" w:lineRule="auto"/>
        <w:widowControl/>
        <w:tabs>
          <w:tab w:val="left" w:pos="567"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val="zh-CN"/>
        </w:rPr>
        <w:t xml:space="preserve">乙方须按照</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lang w:val="zh-CN"/>
        </w:rPr>
        <w:t xml:space="preserve">要求实施项目，履行承诺，保证质量。</w:t>
      </w:r>
      <w:r/>
    </w:p>
    <w:p>
      <w:pPr>
        <w:ind w:firstLine="420"/>
        <w:spacing w:line="360" w:lineRule="auto"/>
        <w:widowControl/>
        <w:tabs>
          <w:tab w:val="left" w:pos="567"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eastAsia="宋体" w:cs="宋体"/>
          <w:color w:val="auto"/>
          <w:sz w:val="24"/>
          <w:szCs w:val="24"/>
          <w:highlight w:val="none"/>
          <w:lang w:val="zh-CN"/>
        </w:rPr>
        <w:t xml:space="preserve">甲方</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本合同约定方式拨付乙方项目经费，乙方须向甲方提供正规收款票据。</w:t>
      </w:r>
      <w:r/>
    </w:p>
    <w:p>
      <w:pPr>
        <w:ind w:firstLine="420"/>
        <w:spacing w:line="360" w:lineRule="auto"/>
        <w:widowControl/>
        <w:tabs>
          <w:tab w:val="left" w:pos="567"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5.3</w:t>
      </w:r>
      <w:r>
        <w:rPr>
          <w:rFonts w:hint="eastAsia" w:ascii="宋体" w:hAnsi="宋体" w:eastAsia="宋体" w:cs="宋体"/>
          <w:color w:val="auto"/>
          <w:sz w:val="24"/>
          <w:szCs w:val="24"/>
          <w:highlight w:val="none"/>
          <w:lang w:val="zh-CN"/>
        </w:rPr>
        <w:t xml:space="preserve">乙方在项目实施周期内接受甲方委托的第三方监管和评估，并向第三方提交监管和评估所需的所有项目信息和资料。</w:t>
      </w:r>
      <w:r/>
    </w:p>
    <w:p>
      <w:pPr>
        <w:ind w:firstLine="420"/>
        <w:spacing w:line="360" w:lineRule="auto"/>
        <w:widowControl/>
        <w:tabs>
          <w:tab w:val="left" w:pos="567"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5.4</w:t>
      </w:r>
      <w:r>
        <w:rPr>
          <w:rFonts w:hint="eastAsia" w:ascii="宋体" w:hAnsi="宋体" w:eastAsia="宋体" w:cs="宋体"/>
          <w:color w:val="auto"/>
          <w:sz w:val="24"/>
          <w:szCs w:val="24"/>
          <w:highlight w:val="none"/>
          <w:lang w:val="zh-CN"/>
        </w:rPr>
        <w:t xml:space="preserve">甲方提供给乙方的数据文件、图纸、资料等文件，仅供乙方在本项目中使用，乙方在任何时候都应遵守本保密条款，在未经甲方事先书面允许前，不得将甲方提供的以及乙方参与本项目所知悉的有关信息透露给与完成本项目无关的第三方。</w:t>
      </w:r>
      <w:bookmarkStart w:id="20" w:name="auto_fouce_7"/>
      <w:r/>
      <w:r/>
    </w:p>
    <w:p>
      <w:pPr>
        <w:ind w:firstLine="420"/>
        <w:spacing w:line="360" w:lineRule="auto"/>
        <w:widowControl/>
        <w:tabs>
          <w:tab w:val="left" w:pos="567"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本项目实施过程中产生的所有服务成果（包括但不限于评估报告、技术方案、数据文件、图纸等）的知识产权及相关权益均归甲方所有。未经甲方事先书面同意，乙方不得将其用于本项目之外的任何用途。</w:t>
      </w:r>
      <w:bookmarkEnd w:id="20"/>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六、验收标准：</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zh-CN"/>
        </w:rPr>
        <w:t xml:space="preserve">根据招标文件、中标单位的投标文件、双方签订的合同文件及其附件、国家的相关规定</w:t>
      </w:r>
      <w:r>
        <w:rPr>
          <w:rFonts w:hint="eastAsia" w:ascii="宋体" w:hAnsi="宋体" w:eastAsia="宋体" w:cs="宋体"/>
          <w:color w:val="auto"/>
          <w:sz w:val="24"/>
          <w:szCs w:val="24"/>
          <w:highlight w:val="none"/>
        </w:rPr>
        <w:t xml:space="preserve">等确定</w:t>
      </w:r>
      <w:r>
        <w:rPr>
          <w:rFonts w:hint="eastAsia" w:ascii="宋体" w:hAnsi="宋体" w:eastAsia="宋体" w:cs="宋体"/>
          <w:color w:val="auto"/>
          <w:sz w:val="24"/>
          <w:szCs w:val="24"/>
          <w:highlight w:val="none"/>
          <w:lang w:val="zh-CN"/>
        </w:rPr>
        <w:t xml:space="preserve">。</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6.2技术依据：为保证本项目实施的科学性、规范性和准确性，技术操作、服务需要严格遵照国家有关法律、法规、规章制度以及国家和行业颁布的相关技术标准和规范。</w:t>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七、违约责任：</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7.1甲方违约责任</w:t>
      </w:r>
      <w:r/>
    </w:p>
    <w:p>
      <w:pPr>
        <w:ind w:firstLine="420"/>
        <w:jc w:val="left"/>
        <w:spacing w:line="360" w:lineRule="auto"/>
        <w:widowControl/>
        <w:rPr>
          <w:rFonts w:ascii="宋体" w:hAnsi="宋体" w:eastAsia="宋体" w:cs="宋体"/>
          <w:color w:val="auto"/>
          <w:sz w:val="24"/>
          <w:szCs w:val="24"/>
          <w:highlight w:val="none"/>
        </w:rPr>
      </w:pPr>
      <w:r/>
      <w:bookmarkStart w:id="21" w:name="auto_fouce_8"/>
      <w:r>
        <w:rPr>
          <w:rFonts w:hint="eastAsia" w:ascii="宋体" w:hAnsi="宋体" w:eastAsia="宋体" w:cs="宋体"/>
          <w:color w:val="auto"/>
          <w:sz w:val="24"/>
          <w:szCs w:val="24"/>
          <w:highlight w:val="none"/>
        </w:rPr>
        <w:t xml:space="preserve">如因甲方原因，造成乙方未完成规定管理目标或直接造成乙方经济损失的，甲方应给予乙方相应补偿；乙方有权要求甲方限期整改，</w:t>
      </w:r>
      <w:r>
        <w:rPr>
          <w:rFonts w:hint="eastAsia" w:ascii="宋体" w:hAnsi="宋体" w:eastAsia="宋体" w:cs="宋体"/>
          <w:color w:val="auto"/>
          <w:sz w:val="24"/>
          <w:szCs w:val="24"/>
          <w:highlight w:val="none"/>
          <w:lang w:eastAsia="zh-CN"/>
        </w:rPr>
        <w:t xml:space="preserve">如因甲方原因导致合同目的根本无法实现的，乙方</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eastAsia="zh-CN"/>
        </w:rPr>
        <w:t xml:space="preserve">解除</w:t>
      </w:r>
      <w:r>
        <w:rPr>
          <w:rFonts w:hint="eastAsia" w:ascii="宋体" w:hAnsi="宋体" w:eastAsia="宋体" w:cs="宋体"/>
          <w:color w:val="auto"/>
          <w:sz w:val="24"/>
          <w:szCs w:val="24"/>
          <w:highlight w:val="none"/>
        </w:rPr>
        <w:t xml:space="preserve">协议。</w:t>
      </w:r>
      <w:bookmarkEnd w:id="21"/>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7.2乙方违约责任</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2" w:name="tip_risk_bookmark_9"/>
      <w:r>
        <w:rPr>
          <w:rFonts w:ascii="宋体" w:hAnsi="宋体" w:eastAsia="宋体" w:cs="宋体"/>
          <w:color w:val="auto"/>
          <w:sz w:val="24"/>
          <w:szCs w:val="24"/>
          <w:highlight w:val="none"/>
        </w:rPr>
        <w:t xml:space="preserve">因乙方原因导致合同无法正常履行，或乙方履约能力显著不足的</w:t>
      </w:r>
      <w:r>
        <w:rPr>
          <w:rFonts w:hint="eastAsia" w:ascii="宋体" w:hAnsi="宋体" w:eastAsia="宋体" w:cs="宋体"/>
          <w:color w:val="auto"/>
          <w:sz w:val="24"/>
          <w:szCs w:val="24"/>
          <w:highlight w:val="none"/>
        </w:rPr>
        <w:t xml:space="preserve">，甲方有权解除合同，同时乙方向甲方偿付合同金额10%的违约金，违约金不足以补偿损失的甲方有权要求乙方补足。</w:t>
      </w:r>
      <w:bookmarkEnd w:id="22"/>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（2）乙方应制定相关的应急与安全保障措施，在服务过程中如发生安全等相关事件，责任由乙方承担。</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3" w:name="tip_risk_bookmark_10"/>
      <w:r>
        <w:rPr>
          <w:rFonts w:hint="eastAsia" w:ascii="宋体" w:hAnsi="宋体" w:eastAsia="宋体" w:cs="宋体"/>
          <w:color w:val="auto"/>
          <w:sz w:val="24"/>
          <w:szCs w:val="24"/>
          <w:highlight w:val="none"/>
        </w:rPr>
        <w:t xml:space="preserve">乙方应按照甲方要求如期完成服务内容，如因乙方自身原因迟延提供的，每逾期一天，应按照该总合同委托费用的万分之二支付违约金，逾期超过90日的，甲方有权另行委托其他第三方完成，由此造成的损失概由乙方自行承担，相关费用甲方不予结算。</w:t>
      </w:r>
      <w:bookmarkEnd w:id="23"/>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bookmarkStart w:id="24" w:name="tip_risk_bookmark_11"/>
      <w:r>
        <w:rPr>
          <w:rFonts w:hint="eastAsia" w:ascii="宋体" w:hAnsi="宋体" w:eastAsia="宋体" w:cs="宋体"/>
          <w:bCs/>
          <w:color w:val="auto"/>
          <w:sz w:val="24"/>
          <w:szCs w:val="24"/>
          <w:highlight w:val="none"/>
        </w:rPr>
        <w:t xml:space="preserve">项目负责人及管理人员违约乙方中标后或服务期间不得随意变更中标项目负责人及核心服务团队成员。确需更换的，应当经甲方书面同意。服务期间项目负责人保证每月出勤不少于 22 天，且每天在现场不少于 8 小时；有事必须向甲方书面请假，经甲方书面同意后方可离开。每发现一次违反上述规定，乙方向甲方支付违约金 2000 元。</w:t>
      </w:r>
      <w:bookmarkEnd w:id="24"/>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bookmarkStart w:id="25" w:name="tip_risk_bookmark_12"/>
      <w:r>
        <w:rPr>
          <w:rFonts w:hint="eastAsia" w:ascii="宋体" w:hAnsi="宋体" w:eastAsia="宋体" w:cs="宋体"/>
          <w:bCs/>
          <w:color w:val="auto"/>
          <w:sz w:val="24"/>
          <w:szCs w:val="24"/>
          <w:highlight w:val="none"/>
        </w:rPr>
        <w:t xml:space="preserve">乙方出现严重安全、质量事故，按每起20000元至100000元支付违约金。</w:t>
      </w:r>
      <w:bookmarkEnd w:id="25"/>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bookmarkStart w:id="26" w:name="tip_risk_bookmark_13"/>
      <w:r>
        <w:rPr>
          <w:rFonts w:hint="eastAsia" w:ascii="宋体" w:hAnsi="宋体" w:eastAsia="宋体" w:cs="宋体"/>
          <w:bCs/>
          <w:color w:val="auto"/>
          <w:sz w:val="24"/>
          <w:szCs w:val="24"/>
          <w:highlight w:val="none"/>
        </w:rPr>
        <w:t xml:space="preserve">媒体曝光或主管部门通报批评在项目实施过程中，因乙方原因出现质量问题、安全事故或其他违规问题，被报纸、电视等媒体曝光或被政府有关主管部门通报批评，给项目及甲方形象造成负面影响的，每次由乙方向甲方支付违约金 50000 元。</w:t>
      </w:r>
      <w:bookmarkEnd w:id="26"/>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bookmarkStart w:id="27" w:name="tip_risk_bookmark_14"/>
      <w:r>
        <w:rPr>
          <w:rFonts w:hint="eastAsia" w:ascii="宋体" w:hAnsi="宋体" w:eastAsia="宋体" w:cs="宋体"/>
          <w:bCs/>
          <w:color w:val="auto"/>
          <w:sz w:val="24"/>
          <w:szCs w:val="24"/>
          <w:highlight w:val="none"/>
        </w:rPr>
        <w:t xml:space="preserve">安全文明作业不合格乙方必须确保现场安全文明作业符合管理要求，如因乙方原因导致现场在市、区级检查中被评为不合格的，按每起 10000 元支付违约金。</w:t>
      </w:r>
      <w:bookmarkEnd w:id="27"/>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（8）服务结束清场不及时乙方在项目验收通过后 7 日内，须拆除现场临时设施、清运所有机械设备、材料及建筑垃圾，清理标准须经甲方认可。逾期未完成所产生的相关费用，甲方有权在工程结算价款中双倍扣除。</w:t>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（9）若因乙方原因造成服务成果存在严重质量事故，甲方有权解除合同并要求乙方退场，履约保证金不予退还，乙方还应承担赔偿甲方损失的责任。</w:t>
      </w:r>
      <w:r/>
    </w:p>
    <w:p>
      <w:pPr>
        <w:ind w:firstLine="422"/>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服务质量不达标乙方必须达到合同约定的服务与质量标准，达不到标准的，须无偿负责返工、修正、重做；经返工、修正后仍不能消除缺陷、不能达到约定标准的，甲方有权解除合同，并减少或拒绝支付相应款项；造成甲方经济损失的，由乙方承担。</w:t>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八、合同的生效及其他：</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8.1合同生效</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甲乙双方法定代表人或授权代表签字并加盖公章后生效，生效后经政府采购监管部门备案。</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8.2其他 </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在执行过程中出现的未尽事宜，双方在不违背本合同和招标文件的原则下协商解决，协商结果以书面形式盖章记录在案，作为本合同的附件，与本合同具有同等效力，但需向政府采购管理处和招标代理机构备存。</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（2）合同附件：本合同附件、招标文件、乙方的投标文件和乙方在开标过程中所作的承诺以及中标通知书均作本合同的组成部分，与本合同具有同等的法律效力。</w:t>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（3）合同份数：本合同一式伍份，甲乙双方各执两份，采购代理机构一份。</w:t>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九、合同的解除和转让：</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9.1甲方和乙方协商一致，可以解除合同。</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9.2有下列情形之一，合同一方可以解除合同：</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9.3有权解除合同的一方，应当在违约事实或不可抗力发生之后三十天内书面通知对方提出解除合同，合同在书面通知到达对方时解除。</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w:t>
      </w:r>
      <w:bookmarkStart w:id="28" w:name="tip_risk_bookmark_15"/>
      <w:r>
        <w:rPr>
          <w:rFonts w:hint="eastAsia" w:ascii="宋体" w:hAnsi="宋体" w:eastAsia="宋体" w:cs="宋体"/>
          <w:color w:val="auto"/>
          <w:sz w:val="24"/>
          <w:szCs w:val="24"/>
          <w:highlight w:val="none"/>
        </w:rPr>
        <w:t xml:space="preserve">合同不得转让。违反此约定的，甲方有权立即终止本合同，同时乙方按照合同总金额的20%承担相应违约金责任，违约金不足以补偿损失的，甲方有权要求乙方补足，包括但不限于调查费用、公证费用、诉讼费、律师费等费用。</w:t>
      </w:r>
      <w:bookmarkEnd w:id="28"/>
      <w:r/>
      <w:r/>
    </w:p>
    <w:p>
      <w:pPr>
        <w:ind w:firstLine="422"/>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十、不可抗力：</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10.1因不可抗力不能履行合同的，根据不可抗力的影响，部分或者全部免除责任。但合同一方延迟履行后发生不可抗力的，不能免除责任。</w:t>
      </w:r>
      <w:r/>
    </w:p>
    <w:p>
      <w:pPr>
        <w:ind w:firstLine="420"/>
        <w:spacing w:line="360" w:lineRule="auto"/>
        <w:widowControl/>
        <w:tabs>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10.2合同一方因不可抗力不能履行合同的，应当及时通知对方，以减轻可能给对方造成的损失，并应当在合理期限内提供证明。</w:t>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十一、争议处理：</w:t>
      </w:r>
      <w:r/>
    </w:p>
    <w:p>
      <w:pPr>
        <w:ind w:firstLine="42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双方因履行本协议产生纠纷的，应友好协商解决。协商不成的，任何一方均有权向甲方所在地有管辖权的人民法院提起诉讼。</w:t>
      </w:r>
      <w:r/>
    </w:p>
    <w:p>
      <w:pPr>
        <w:ind w:firstLine="42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十二、未尽事宜：</w:t>
      </w:r>
      <w:r/>
    </w:p>
    <w:p>
      <w:pPr>
        <w:pStyle w:val="1032"/>
        <w:ind w:firstLine="420"/>
        <w:rPr>
          <w:bCs/>
          <w:color w:val="auto"/>
          <w:highlight w:val="none"/>
        </w:rPr>
      </w:pPr>
      <w:r>
        <w:rPr>
          <w:rFonts w:hint="eastAsia"/>
          <w:bCs/>
          <w:color w:val="auto"/>
          <w:highlight w:val="none"/>
        </w:rPr>
        <w:t xml:space="preserve">未尽事宜应按照《中华人民共和国民法典》、《中华人民共和国政府采购法》等相关法律法规之规定解释。</w:t>
      </w:r>
      <w:r/>
    </w:p>
    <w:tbl>
      <w:tblPr>
        <w:tblStyle w:val="793"/>
        <w:tblpPr w:horzAnchor="page" w:tblpX="1257" w:vertAnchor="text" w:tblpY="466" w:leftFromText="180" w:topFromText="0" w:rightFromText="180" w:bottomFromText="0"/>
        <w:tblW w:w="96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93"/>
        <w:gridCol w:w="4678"/>
      </w:tblGrid>
      <w:tr>
        <w:trPr>
          <w:trHeight w:val="4412"/>
        </w:trPr>
        <w:tc>
          <w:tcPr>
            <w:tcW w:w="4993" w:type="dxa"/>
            <w:vAlign w:val="center"/>
            <w:textDirection w:val="lrTb"/>
            <w:noWrap/>
          </w:tcPr>
          <w:p>
            <w:pPr>
              <w:ind w:firstLine="420"/>
              <w:spacing w:line="360" w:lineRule="auto"/>
              <w:widowControl/>
              <w:rPr>
                <w:rFonts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甲方（盖章）：</w:t>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w:t>
            </w:r>
            <w:r/>
          </w:p>
          <w:p>
            <w:pPr>
              <w:ind w:firstLine="420"/>
              <w:spacing w:line="360" w:lineRule="auto"/>
              <w:widowControl/>
              <w:rPr>
                <w:rFonts w:ascii="宋体" w:hAnsi="宋体" w:eastAsia="宋体" w:cs="宋体"/>
                <w:color w:val="auto"/>
                <w:sz w:val="24"/>
                <w:szCs w:val="24"/>
                <w:highlight w:val="none"/>
                <w:lang w:eastAsia="zh-TW"/>
              </w:rPr>
            </w:pPr>
            <w:r>
              <w:rPr>
                <w:rFonts w:ascii="宋体" w:hAnsi="宋体" w:eastAsia="宋体" w:cs="宋体"/>
                <w:color w:val="auto"/>
                <w:sz w:val="24"/>
                <w:szCs w:val="24"/>
                <w:highlight w:val="none"/>
                <w:lang w:eastAsia="zh-TW"/>
              </w:rPr>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rPr>
              <w:t xml:space="preserve">经办人：</w:t>
            </w:r>
            <w:r/>
          </w:p>
          <w:p>
            <w:pPr>
              <w:ind w:firstLine="420"/>
              <w:spacing w:line="360" w:lineRule="auto"/>
              <w:widowControl/>
              <w:rPr>
                <w:rFonts w:ascii="宋体" w:hAnsi="宋体" w:eastAsia="宋体" w:cs="宋体"/>
                <w:color w:val="auto"/>
                <w:sz w:val="24"/>
                <w:szCs w:val="24"/>
                <w:highlight w:val="none"/>
                <w:lang w:eastAsia="zh-TW"/>
              </w:rPr>
            </w:pPr>
            <w:r>
              <w:rPr>
                <w:rFonts w:ascii="宋体" w:hAnsi="宋体" w:eastAsia="宋体" w:cs="宋体"/>
                <w:color w:val="auto"/>
                <w:sz w:val="24"/>
                <w:szCs w:val="24"/>
                <w:highlight w:val="none"/>
                <w:lang w:eastAsia="zh-TW"/>
              </w:rPr>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rPr>
              <w:t xml:space="preserve">签署日期：</w:t>
            </w:r>
            <w:r/>
          </w:p>
        </w:tc>
        <w:tc>
          <w:tcPr>
            <w:tcW w:w="4678" w:type="dxa"/>
            <w:vAlign w:val="center"/>
            <w:textDirection w:val="lrTb"/>
            <w:noWrap/>
          </w:tcPr>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乙方（盖章）：</w:t>
            </w:r>
            <w:r/>
          </w:p>
          <w:p>
            <w:pPr>
              <w:ind w:firstLine="420"/>
              <w:spacing w:line="360" w:lineRule="auto"/>
              <w:widowControl/>
              <w:rPr>
                <w:rFonts w:ascii="宋体" w:hAnsi="宋体" w:eastAsia="宋体" w:cs="宋体"/>
                <w:color w:val="auto"/>
                <w:sz w:val="24"/>
                <w:szCs w:val="24"/>
                <w:highlight w:val="none"/>
                <w:lang w:eastAsia="zh-TW"/>
              </w:rPr>
            </w:pPr>
            <w:r>
              <w:rPr>
                <w:rFonts w:ascii="宋体" w:hAnsi="宋体" w:eastAsia="宋体" w:cs="宋体"/>
                <w:color w:val="auto"/>
                <w:sz w:val="24"/>
                <w:szCs w:val="24"/>
                <w:highlight w:val="none"/>
                <w:lang w:eastAsia="zh-TW"/>
              </w:rPr>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w:t>
            </w:r>
            <w:r/>
          </w:p>
          <w:p>
            <w:pPr>
              <w:ind w:firstLine="420"/>
              <w:spacing w:line="360" w:lineRule="auto"/>
              <w:widowControl/>
              <w:rPr>
                <w:rFonts w:ascii="宋体" w:hAnsi="宋体" w:eastAsia="宋体" w:cs="宋体"/>
                <w:color w:val="auto"/>
                <w:sz w:val="24"/>
                <w:szCs w:val="24"/>
                <w:highlight w:val="none"/>
                <w:lang w:eastAsia="zh-TW"/>
              </w:rPr>
            </w:pPr>
            <w:r>
              <w:rPr>
                <w:rFonts w:ascii="宋体" w:hAnsi="宋体" w:eastAsia="宋体" w:cs="宋体"/>
                <w:color w:val="auto"/>
                <w:sz w:val="24"/>
                <w:szCs w:val="24"/>
                <w:highlight w:val="none"/>
                <w:lang w:eastAsia="zh-TW"/>
              </w:rPr>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rPr>
              <w:t xml:space="preserve">经办人：</w:t>
            </w:r>
            <w:r/>
          </w:p>
          <w:p>
            <w:pPr>
              <w:ind w:firstLine="420"/>
              <w:spacing w:line="360" w:lineRule="auto"/>
              <w:widowControl/>
              <w:rPr>
                <w:rFonts w:ascii="宋体" w:hAnsi="宋体" w:eastAsia="宋体" w:cs="宋体"/>
                <w:color w:val="auto"/>
                <w:sz w:val="24"/>
                <w:szCs w:val="24"/>
                <w:highlight w:val="none"/>
                <w:lang w:eastAsia="zh-TW"/>
              </w:rPr>
            </w:pPr>
            <w:r>
              <w:rPr>
                <w:rFonts w:ascii="宋体" w:hAnsi="宋体" w:eastAsia="宋体" w:cs="宋体"/>
                <w:color w:val="auto"/>
                <w:sz w:val="24"/>
                <w:szCs w:val="24"/>
                <w:highlight w:val="none"/>
                <w:lang w:eastAsia="zh-TW"/>
              </w:rPr>
            </w:r>
            <w:r/>
          </w:p>
          <w:p>
            <w:pPr>
              <w:ind w:firstLine="42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签署日期：</w:t>
            </w:r>
            <w:r/>
          </w:p>
        </w:tc>
      </w:tr>
    </w:tbl>
    <w:p>
      <w:pPr>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spacing w:before="480" w:after="48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p>
    <w:p>
      <w:pPr>
        <w:jc w:val="center"/>
        <w:spacing w:before="480" w:after="48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安全协议</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甲方：________________________</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乙方：________________________</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障（以下简称“本项目”）施工安全，明确甲乙双方安全责任，依据《中华人民共和国安全生产法》《土壤污染防治法》《建设工程安全生产管理条例》等相关法律法规及项目合同约定，甲乙双方本着平等自愿、协商一致的原则，签订本安全协议，作为项目合同的附件，与主合同具有同等法律效力。</w:t>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一、协议适用范围</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本协议适用于本项目范围内所有施工活动。</w:t>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二、甲方安全责任</w:t>
      </w:r>
      <w:r/>
    </w:p>
    <w:p>
      <w:pPr>
        <w:ind w:firstLine="482"/>
        <w:jc w:val="left"/>
        <w:spacing w:line="300" w:lineRule="auto"/>
        <w:rPr>
          <w:rFonts w:hint="eastAsia" w:ascii="宋体" w:hAnsi="宋体" w:eastAsia="宋体" w:cs="宋体"/>
          <w:color w:val="auto"/>
          <w:sz w:val="24"/>
          <w:szCs w:val="24"/>
          <w:highlight w:val="none"/>
          <w:lang w:eastAsia="zh-CN"/>
        </w:rPr>
      </w:pPr>
      <w:r/>
      <w:bookmarkStart w:id="29" w:name="auto_fouce_16"/>
      <w:r>
        <w:rPr>
          <w:rFonts w:hint="eastAsia" w:ascii="宋体" w:hAnsi="宋体" w:eastAsia="宋体" w:cs="宋体"/>
          <w:color w:val="auto"/>
          <w:sz w:val="24"/>
          <w:szCs w:val="24"/>
          <w:highlight w:val="none"/>
        </w:rPr>
        <w:t xml:space="preserve">向乙方提供项目地块详细的污染状况资料（包括土壤/地下水污染物种类、超标范围、风险点位等）、周边环境敏感点（居民区域、农田等）分布信息及相关安全警示资料，明确施工安全风险点。</w:t>
      </w:r>
      <w:r>
        <w:rPr>
          <w:rFonts w:hint="eastAsia" w:ascii="宋体" w:hAnsi="宋体" w:eastAsia="宋体" w:cs="宋体"/>
          <w:color w:val="auto"/>
          <w:sz w:val="24"/>
          <w:szCs w:val="24"/>
          <w:highlight w:val="none"/>
          <w:lang w:eastAsia="zh-CN"/>
        </w:rPr>
        <w:t xml:space="preserve">甲方提供的上述资料仅供参考，乙方作为专业服务提供方，应在施工前自行进行现场踏勘和核实。因乙方未尽核实义务或操作不当导致的安全事故，由乙方承担全部责任。</w:t>
      </w:r>
      <w:bookmarkEnd w:id="29"/>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三、乙方安全责任</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30" w:name="auto_fouce_17"/>
      <w:r>
        <w:rPr>
          <w:rFonts w:hint="eastAsia" w:ascii="宋体" w:hAnsi="宋体" w:eastAsia="宋体" w:cs="宋体"/>
          <w:color w:val="auto"/>
          <w:sz w:val="24"/>
          <w:szCs w:val="24"/>
          <w:highlight w:val="none"/>
        </w:rPr>
        <w:t xml:space="preserve">严格遵守国家、地方相关安全生产法律法规及甲方安全管理要求，建立健全本单位安全管理体系，配备专职安全管理人员，明确各级人员安全职责。</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.施工前编制专项施工安全方案，包括但不限于TRD工法施工安全措施、微生物菌剂使用安全措施、防污染扩散安全措施、应急救援预案等，经甲方审核同意后方可实施。</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.对施工人员进行全面的安全培训，包括地块污染风险告知、安全操作规程、应急处置流程等，考核合格后方可上岗；特种作业人员必须持证上岗。</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.按照规定为施工人员配备合格的个人防护用品（如防毒口罩、防化服、防护手套、安全帽、安全鞋等），并监督施工人员正确佩戴和使用。</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.在施工现场设置明显的安全警示标志（如禁止入内、有毒有害、注意防护等），划分危险作业区域并设置围挡，严禁无关人员进入施工现场。</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.严格按照施工安全方案及技术规范施工，加强施工过程安全管控，重点防范污染扩散、设备故障、人员中毒、高处坠落、触电等安全风险；发现安全隐患立即停工整改，整改合格后方可恢复施工。</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.规范管理施工过程中产生的废料、废液等，严格按照环保及安全要求处置，防止二次污染及安全事故。</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.定期开展施工现场安全自查，建立安全台账，记录安全培训、隐患排查整改、安全巡查等情况，接受甲方及相关监管部门的检查。</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.发生安全事故时，立即启动应急救援预案，组织人员抢救，采取有效措施防止事故扩大，并第一时间向甲方及相关部门报告；配合甲方及相关部门做好事故调查处理工作。</w:t>
      </w:r>
      <w:bookmarkEnd w:id="30"/>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四、安全专项要求</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bookmarkStart w:id="31" w:name="auto_fouce_18"/>
      <w:r>
        <w:rPr>
          <w:rFonts w:hint="eastAsia" w:ascii="宋体" w:hAnsi="宋体" w:eastAsia="宋体" w:cs="宋体"/>
          <w:color w:val="auto"/>
          <w:sz w:val="24"/>
          <w:szCs w:val="24"/>
          <w:highlight w:val="none"/>
        </w:rPr>
        <w:t xml:space="preserve">TRD工法施工安全：施工前检查设备性能完好性，设置设备稳定支撑措施；施工过程中监测地下水位及周边地层变化，防止坍塌；作业人员需远离设备旋转区域，做好防噪声、防振动防护。</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.微生物菌剂使用安全：明确菌剂储存、运输、注入过程的安全要求，防止菌剂泄漏；操作人员需佩戴专用防护用品，避免直接接触菌剂；菌剂泄漏时，立即采取封堵、清理等应急措施，防止污染土壤及地下水。</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.防污染扩散安全：施工过程中设置防渗围挡及收集设施，防止施工废水、污染物扩散至周边环境；监测井、注入井施工后及时封堵，防止地下水串层污染。</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.用电安全：施工现场用电设备需符合安全标准，配备漏电保护器；电线铺设规范，严禁乱拉乱接；雨天作业加强用电防护，防止触电事故。</w:t>
      </w:r>
      <w:bookmarkEnd w:id="31"/>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五、应急管理</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bookmarkStart w:id="32" w:name="auto_fouce_19"/>
      <w:r>
        <w:rPr>
          <w:rFonts w:hint="eastAsia" w:ascii="宋体" w:hAnsi="宋体" w:eastAsia="宋体" w:cs="宋体"/>
          <w:color w:val="auto"/>
          <w:sz w:val="24"/>
          <w:szCs w:val="24"/>
          <w:highlight w:val="none"/>
        </w:rPr>
        <w:t xml:space="preserve">甲乙双方共同完善项目应急救援预案，明确应急组织机构、职责分工、应急响应流程、应急处置措施等。</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.乙方需定期组织施工人员开展应急演练（如中毒应急救援、污染扩散应急处置等），提高应急处置能力。</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.发生以下紧急情况时，乙方需立即停工并启动应急响应：① 污染物大量泄漏，可能扩散至周边敏感点；② 施工人员发生中毒、受伤等安全事故；③ 出现坍塌、滑坡等地质灾害风险；④ 其他可能引发重大安全或环境风险的情况。</w:t>
      </w:r>
      <w:bookmarkEnd w:id="32"/>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六、责任追究</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bookmarkStart w:id="33" w:name="auto_fouce_20"/>
      <w:r>
        <w:rPr>
          <w:rFonts w:hint="eastAsia" w:ascii="宋体" w:hAnsi="宋体" w:eastAsia="宋体" w:cs="宋体"/>
          <w:color w:val="auto"/>
          <w:sz w:val="24"/>
          <w:szCs w:val="24"/>
          <w:highlight w:val="none"/>
        </w:rPr>
        <w:t xml:space="preserve">因乙方未履行本协议约定的安全责任，违反安全法律法规及施工安全要求，导致安全事故发生的，由乙方承担全部责任及损失；造成甲方或第三方损失的，乙方需全额赔偿。</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.乙方未按要求整改安全隐患，或存在违法违规施工行为的，甲方有权依据项目合同约定追究乙方违约责任，情节严重的，甲方可解除项目合同。</w:t>
      </w:r>
      <w:bookmarkEnd w:id="33"/>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七、协议期限</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本协议自甲乙双方签字盖章之日起生效，至本项目施工完成并通过竣工验收之日止。</w:t>
      </w:r>
      <w:r/>
    </w:p>
    <w:p>
      <w:pPr>
        <w:jc w:val="left"/>
        <w:spacing w:before="100" w:after="100"/>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八、其他</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bookmarkStart w:id="34" w:name="auto_fouce_21"/>
      <w:r>
        <w:rPr>
          <w:rFonts w:hint="eastAsia" w:ascii="宋体" w:hAnsi="宋体" w:eastAsia="宋体" w:cs="宋体"/>
          <w:color w:val="auto"/>
          <w:sz w:val="24"/>
          <w:szCs w:val="24"/>
          <w:highlight w:val="none"/>
        </w:rPr>
        <w:t xml:space="preserve">本协议未尽事宜，由甲乙双方协商解决；协商不成的，按照项目主合同约定的争议解决方式处理。</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2.本协议一式</w:t>
      </w:r>
      <w:r>
        <w:rPr>
          <w:rFonts w:hint="eastAsia" w:ascii="宋体" w:hAnsi="宋体" w:eastAsia="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val="en-US" w:eastAsia="zh-CN"/>
        </w:rPr>
        <w:t xml:space="preserve">代理机构壹份，</w:t>
      </w:r>
      <w:r>
        <w:rPr>
          <w:rFonts w:hint="eastAsia" w:ascii="宋体" w:hAnsi="宋体" w:eastAsia="宋体" w:cs="宋体"/>
          <w:color w:val="auto"/>
          <w:sz w:val="24"/>
          <w:szCs w:val="24"/>
          <w:highlight w:val="none"/>
        </w:rPr>
        <w:t xml:space="preserve">具有同等法律效力。</w:t>
      </w:r>
      <w:bookmarkEnd w:id="34"/>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甲方（盖章）：________________________</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法定代表人/授权代表人（签字或盖章）：________________________</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日期：______年____月____日</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乙方（盖章）：________________________</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法定代表人/授权代表人（签字或盖章）：________________________</w:t>
      </w:r>
      <w:r/>
    </w:p>
    <w:p>
      <w:pPr>
        <w:ind w:firstLine="482"/>
        <w:jc w:val="left"/>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日期：______年____月____日</w:t>
      </w:r>
      <w:r/>
    </w:p>
    <w:p>
      <w:pPr>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采购人保留对上述合同文本进行继续修改的权利。</w:t>
      </w:r>
      <w:r/>
    </w:p>
    <w:p>
      <w:pPr>
        <w:jc w:val="center"/>
        <w:spacing w:line="360" w:lineRule="auto"/>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第六章 合同授予</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一、中标人须凭“中标通知书”和“履约保证金”缴纳凭证，30日内与采购人签订合同。超期或未有协商，则视为自动放弃中标资格。</w:t>
      </w:r>
      <w:r>
        <w:rPr>
          <w:rFonts w:hint="eastAsia" w:ascii="宋体" w:hAnsi="宋体" w:eastAsia="宋体" w:cs="宋体"/>
          <w:color w:val="auto"/>
          <w:sz w:val="24"/>
          <w:szCs w:val="24"/>
          <w:highlight w:val="none"/>
        </w:rPr>
        <w:t xml:space="preserve">本合同一式伍份，甲乙双方各执两份，采购代理机构一份</w:t>
      </w:r>
      <w:r>
        <w:rPr>
          <w:rFonts w:hint="eastAsia" w:ascii="宋体" w:hAnsi="宋体" w:eastAsia="宋体" w:cs="宋体"/>
          <w:color w:val="auto"/>
          <w:sz w:val="24"/>
          <w:szCs w:val="21"/>
          <w:highlight w:val="none"/>
        </w:rPr>
        <w:t xml:space="preserve">。所签合同不得对招标文件作实质性修改。采购人不得向中标人提出不合理的要求作为签订合同的条件，不得与中标人私下订立背离招标文件实质性内容的协议。</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二、采购人按合同约定积极配合中标人履约，中标人履约到位后，请以书面形式向采购人提出验收申请。</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三、中标人出现违约情形，应当及时纠正或补偿；造成损失的，按合同约定追究违约责任。</w:t>
      </w:r>
      <w:bookmarkEnd w:id="13"/>
      <w:r/>
      <w:r/>
    </w:p>
    <w:p>
      <w:pPr>
        <w:contextualSpacing/>
        <w:ind w:firstLine="480"/>
        <w:spacing w:line="360" w:lineRule="auto"/>
        <w:rPr>
          <w:rFonts w:ascii="宋体" w:hAnsi="宋体" w:eastAsia="宋体" w:cs="宋体"/>
          <w:color w:val="auto"/>
          <w:sz w:val="24"/>
          <w:szCs w:val="21"/>
          <w:highlight w:val="none"/>
        </w:rPr>
      </w:pPr>
      <w:r/>
      <w:bookmarkStart w:id="35" w:name="_Toc363573860"/>
      <w:r>
        <w:rPr>
          <w:rFonts w:hint="eastAsia" w:ascii="宋体" w:hAnsi="宋体" w:eastAsia="宋体" w:cs="宋体"/>
          <w:color w:val="auto"/>
          <w:sz w:val="24"/>
          <w:szCs w:val="21"/>
          <w:highlight w:val="none"/>
        </w:rPr>
        <w:t xml:space="preserve">四、不响应付款方式的，视同投标文件无效，按无效投标文件处理。</w:t>
      </w:r>
      <w:r/>
    </w:p>
    <w:p>
      <w:pPr>
        <w:contextualSpacing/>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1"/>
          <w:highlight w:val="none"/>
        </w:rPr>
        <w:t xml:space="preserve">五、付款方式详见招标文件第五章，以上项目款的支付不计息。</w:t>
      </w:r>
      <w:r/>
    </w:p>
    <w:p>
      <w:pPr>
        <w:contextualSpacing/>
        <w:ind w:firstLine="480"/>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contextualSpacing/>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pStyle w:val="971"/>
        <w:spacing w:line="360" w:lineRule="auto"/>
        <w:rPr>
          <w:rFonts w:ascii="宋体" w:hAnsi="宋体" w:eastAsia="宋体" w:cs="宋体"/>
          <w:color w:val="auto"/>
          <w:highlight w:val="none"/>
        </w:rPr>
      </w:pPr>
      <w:r>
        <w:rPr>
          <w:rFonts w:ascii="宋体" w:hAnsi="宋体" w:eastAsia="宋体" w:cs="宋体"/>
          <w:color w:val="auto"/>
          <w:highlight w:val="none"/>
        </w:rPr>
      </w:r>
      <w:r/>
    </w:p>
    <w:p>
      <w:pPr>
        <w:contextualSpacing/>
        <w:ind w:firstLine="582"/>
        <w:jc w:val="center"/>
        <w:spacing w:line="360" w:lineRule="auto"/>
        <w:rPr>
          <w:rFonts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第七章 质疑与投诉</w:t>
      </w:r>
      <w:r/>
    </w:p>
    <w:p>
      <w:pPr>
        <w:contextualSpacing/>
        <w:ind w:firstLine="482"/>
        <w:spacing w:line="360" w:lineRule="auto"/>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一、质疑的提出</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1.提出质疑的投标人应当是参与所质疑项目采购活动的投标人。潜在投标人依法获取其可质疑的招标文件的，可以对招标文件提出质疑。</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2.1对可以质疑的招标文件提出质疑的，为收到招标文件之日或者招标文件公告期限届满之日；</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2.2对采购过程提出质疑的，为各采购程序环节结束之日；</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2.3对中标结果提出质疑的，为中标结果公告期限届满之日。</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投标人应当在法定质疑期内一次性提出针对同一采购程序环节的质疑。</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4.对招标人式、招标文件中项目需求、投标人资格条件、评审方法和评审标准、资格审查结果等应当由招标人答复的质疑，请向招标人提出，由招标人负责答复。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招标人质疑接收人及联系方式，见招标文件第一章。</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5.以下情形的质疑不予受理</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5.1 内容不符合《政府采购质疑和投诉办法》财政部第94号令第十二条规定的质疑。</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5.2 超出政府采购法定期限的质疑。</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5.3 未参加招投标活动的投标人。</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5.4投标人组成联合体参加招投标活动，联合体中任何一方或多方未按要求签字、盖章、加盖公章的质疑。</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contextualSpacing/>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4"/>
          <w:szCs w:val="21"/>
          <w:highlight w:val="none"/>
        </w:rPr>
        <w:t xml:space="preserve">附件：</w:t>
      </w:r>
      <w:r/>
    </w:p>
    <w:p>
      <w:pPr>
        <w:contextualSpacing/>
        <w:ind w:firstLine="480"/>
        <w:jc w:val="center"/>
        <w:spacing w:line="360" w:lineRule="auto"/>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质疑函范本</w:t>
      </w:r>
      <w:r/>
    </w:p>
    <w:p>
      <w:pPr>
        <w:contextualSpacing/>
        <w:ind w:firstLine="480"/>
        <w:spacing w:line="360" w:lineRule="auto"/>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一、质疑</w:t>
      </w: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rPr>
        <w:t xml:space="preserve">基本信息</w:t>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质疑投标人：</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地址：邮编：</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联系人：联系电话：</w:t>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授权代表：</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联系电话：</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地址：邮编：</w:t>
      </w:r>
      <w:r/>
    </w:p>
    <w:p>
      <w:pPr>
        <w:contextualSpacing/>
        <w:ind w:firstLine="480"/>
        <w:spacing w:line="360" w:lineRule="auto"/>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二、质疑项目基本情况</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质疑项目的名称：</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质疑项目的编号：包号：</w:t>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招标人名称：</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招标文件获取日期：</w:t>
      </w:r>
      <w:r/>
    </w:p>
    <w:p>
      <w:pPr>
        <w:contextualSpacing/>
        <w:ind w:firstLine="480"/>
        <w:spacing w:line="360" w:lineRule="auto"/>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三、质疑事项具体内容</w:t>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质疑事项1：</w:t>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事实依据：</w:t>
      </w:r>
      <w:r/>
    </w:p>
    <w:p>
      <w:pPr>
        <w:contextualSpacing/>
        <w:ind w:firstLine="480"/>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法律依据：</w:t>
      </w:r>
      <w:r/>
    </w:p>
    <w:p>
      <w:pPr>
        <w:contextualSpacing/>
        <w:ind w:firstLine="480"/>
        <w:spacing w:line="360" w:lineRule="auto"/>
        <w:rPr>
          <w:rFonts w:ascii="宋体" w:hAnsi="宋体" w:eastAsia="宋体" w:cs="宋体"/>
          <w:color w:val="auto"/>
          <w:sz w:val="24"/>
          <w:szCs w:val="21"/>
          <w:highlight w:val="none"/>
          <w:u w:val="single"/>
        </w:rPr>
      </w:pPr>
      <w:r>
        <w:rPr>
          <w:rFonts w:ascii="宋体" w:hAnsi="宋体" w:eastAsia="宋体" w:cs="宋体"/>
          <w:color w:val="auto"/>
          <w:sz w:val="24"/>
          <w:szCs w:val="21"/>
          <w:highlight w:val="none"/>
          <w:u w:val="single"/>
        </w:rPr>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质疑事项2</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p>
      <w:pPr>
        <w:contextualSpacing/>
        <w:ind w:firstLine="480"/>
        <w:spacing w:line="360" w:lineRule="auto"/>
        <w:rPr>
          <w:rFonts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四、与质疑事项相关的质疑请求</w:t>
      </w:r>
      <w:r/>
    </w:p>
    <w:p>
      <w:pPr>
        <w:contextualSpacing/>
        <w:ind w:firstLine="480"/>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请求：</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签字（签章）：                   公章：                      </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w:t>
      </w:r>
      <w:r/>
    </w:p>
    <w:p>
      <w:pPr>
        <w:contextualSpacing/>
        <w:ind w:firstLine="480"/>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contextualSpacing/>
        <w:ind w:firstLine="482"/>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spacing w:line="360" w:lineRule="auto"/>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contextualSpacing/>
        <w:ind w:firstLine="482"/>
        <w:spacing w:line="360" w:lineRule="auto"/>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质疑函制作说明：</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1.投标人提出质疑时，应提交质疑函和必要的证明材料。</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3.质疑投标人若对项目的某一分包进行质疑，质疑函中应列明具体分包号。</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4.质疑函的质疑事项应具体、明确，并有必要的事实依据和法律依据。</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5.质疑函的质疑请求应与质疑事项相关。</w:t>
      </w:r>
      <w:r/>
    </w:p>
    <w:p>
      <w:pPr>
        <w:contextualSpacing/>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p>
    <w:p>
      <w:pPr>
        <w:contextualSpacing/>
        <w:ind w:firstLine="388"/>
        <w:jc w:val="center"/>
        <w:spacing w:line="360" w:lineRule="auto"/>
        <w:rPr>
          <w:rFonts w:ascii="宋体" w:hAnsi="宋体" w:eastAsia="宋体" w:cs="宋体"/>
          <w:b/>
          <w:color w:val="auto"/>
          <w:sz w:val="36"/>
          <w:szCs w:val="36"/>
          <w:highlight w:val="none"/>
        </w:rPr>
        <w:outlineLvl w:val="0"/>
      </w:pPr>
      <w:r>
        <w:rPr>
          <w:rFonts w:hint="eastAsia" w:ascii="宋体" w:hAnsi="宋体" w:eastAsia="宋体" w:cs="宋体"/>
          <w:b/>
          <w:color w:val="auto"/>
          <w:sz w:val="24"/>
          <w:szCs w:val="21"/>
          <w:highlight w:val="none"/>
        </w:rPr>
        <w:br w:type="page" w:clear="all"/>
      </w:r>
      <w:r>
        <w:rPr>
          <w:rFonts w:hint="eastAsia" w:ascii="宋体" w:hAnsi="宋体" w:eastAsia="宋体" w:cs="宋体"/>
          <w:b/>
          <w:color w:val="auto"/>
          <w:sz w:val="36"/>
          <w:szCs w:val="36"/>
          <w:highlight w:val="none"/>
        </w:rPr>
        <w:t xml:space="preserve">第八章 投标文件组成及格式</w:t>
      </w:r>
      <w:bookmarkEnd w:id="35"/>
      <w:r/>
      <w:r/>
    </w:p>
    <w:p>
      <w:pPr>
        <w:ind w:firstLine="482"/>
        <w:jc w:val="left"/>
        <w:spacing w:line="360" w:lineRule="auto"/>
        <w:rPr>
          <w:rFonts w:ascii="宋体" w:hAnsi="宋体" w:eastAsia="宋体" w:cs="宋体"/>
          <w:b/>
          <w:bCs/>
          <w:color w:val="auto"/>
          <w:sz w:val="24"/>
          <w:szCs w:val="24"/>
          <w:highlight w:val="none"/>
        </w:rPr>
        <w:outlineLvl w:val="1"/>
      </w:pPr>
      <w:r/>
      <w:bookmarkStart w:id="36" w:name="_Toc185280133"/>
      <w:r>
        <w:rPr>
          <w:rFonts w:hint="eastAsia" w:ascii="宋体" w:hAnsi="宋体" w:eastAsia="宋体" w:cs="宋体"/>
          <w:b/>
          <w:bCs/>
          <w:color w:val="auto"/>
          <w:sz w:val="24"/>
          <w:szCs w:val="24"/>
          <w:highlight w:val="none"/>
        </w:rPr>
        <w:t xml:space="preserve">一、投标人编制文件须知</w:t>
      </w:r>
      <w:bookmarkEnd w:id="36"/>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1.投标人按照本部分的顺序编制</w:t>
      </w:r>
      <w:bookmarkStart w:id="37" w:name="_Hlk183351043"/>
      <w:r>
        <w:rPr>
          <w:rFonts w:hint="eastAsia" w:ascii="宋体" w:hAnsi="宋体" w:eastAsia="宋体" w:cs="宋体"/>
          <w:color w:val="auto"/>
          <w:sz w:val="24"/>
          <w:szCs w:val="24"/>
          <w:highlight w:val="none"/>
        </w:rPr>
        <w:t xml:space="preserve">投标文件（资格证明文件）目录、商务技术文件</w:t>
      </w:r>
      <w:bookmarkEnd w:id="37"/>
      <w:r>
        <w:rPr>
          <w:rFonts w:hint="eastAsia" w:ascii="宋体" w:hAnsi="宋体" w:eastAsia="宋体" w:cs="宋体"/>
          <w:color w:val="auto"/>
          <w:sz w:val="24"/>
          <w:szCs w:val="24"/>
          <w:highlight w:val="none"/>
        </w:rPr>
        <w:t xml:space="preserve">目录，编制中涉及格式资料的，应按照本章提供的附件内容中的格式（涉及表格的格式可扩展）填写提交。</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2.全部声明和问题的回答及所附材料必须是真实的、准确的和完整的。</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3.实行电子化不见面交易方式的，加盖公章、签名等均通过响应文件编制工具加盖电子公章、签字（或签字扫描图片）、签章或印鉴。</w:t>
      </w:r>
      <w:r/>
    </w:p>
    <w:p>
      <w:pPr>
        <w:ind w:firstLine="482"/>
        <w:jc w:val="left"/>
        <w:spacing w:line="360" w:lineRule="auto"/>
        <w:rPr>
          <w:rFonts w:ascii="宋体" w:hAnsi="宋体" w:eastAsia="宋体" w:cs="宋体"/>
          <w:b/>
          <w:bCs/>
          <w:color w:val="auto"/>
          <w:sz w:val="24"/>
          <w:szCs w:val="24"/>
          <w:highlight w:val="none"/>
        </w:rPr>
        <w:outlineLvl w:val="1"/>
      </w:pPr>
      <w:r/>
      <w:bookmarkStart w:id="38" w:name="_Toc185280134"/>
      <w:r>
        <w:rPr>
          <w:rFonts w:hint="eastAsia" w:ascii="宋体" w:hAnsi="宋体" w:eastAsia="宋体" w:cs="宋体"/>
          <w:b/>
          <w:bCs/>
          <w:color w:val="auto"/>
          <w:sz w:val="24"/>
          <w:szCs w:val="24"/>
          <w:highlight w:val="none"/>
        </w:rPr>
        <w:t xml:space="preserve">二、基本目录</w:t>
      </w:r>
      <w:bookmarkEnd w:id="38"/>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1.目录</w:t>
      </w:r>
      <w:r>
        <w:rPr>
          <w:rFonts w:hint="eastAsia" w:ascii="宋体" w:hAnsi="宋体" w:eastAsia="宋体" w:cs="宋体"/>
          <w:b/>
          <w:bCs/>
          <w:color w:val="auto"/>
          <w:sz w:val="24"/>
          <w:szCs w:val="24"/>
          <w:highlight w:val="none"/>
        </w:rPr>
        <w:t xml:space="preserve">（格式见附件）。</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2.投标报价表</w:t>
      </w:r>
      <w:r>
        <w:rPr>
          <w:rFonts w:hint="eastAsia" w:ascii="宋体" w:hAnsi="宋体" w:eastAsia="宋体" w:cs="宋体"/>
          <w:b/>
          <w:bCs/>
          <w:color w:val="auto"/>
          <w:sz w:val="24"/>
          <w:szCs w:val="24"/>
          <w:highlight w:val="none"/>
        </w:rPr>
        <w:t xml:space="preserve">（格式见附件）。</w:t>
      </w:r>
      <w:r/>
    </w:p>
    <w:p>
      <w:pPr>
        <w:ind w:firstLine="482"/>
        <w:jc w:val="left"/>
        <w:spacing w:line="360" w:lineRule="auto"/>
        <w:rPr>
          <w:rFonts w:ascii="宋体" w:hAnsi="宋体" w:eastAsia="宋体" w:cs="宋体"/>
          <w:b/>
          <w:bCs/>
          <w:color w:val="auto"/>
          <w:sz w:val="24"/>
          <w:szCs w:val="24"/>
          <w:highlight w:val="none"/>
        </w:rPr>
        <w:outlineLvl w:val="1"/>
      </w:pPr>
      <w:r/>
      <w:bookmarkStart w:id="39" w:name="_Toc185280135"/>
      <w:r>
        <w:rPr>
          <w:rFonts w:hint="eastAsia" w:ascii="宋体" w:hAnsi="宋体" w:eastAsia="宋体" w:cs="宋体"/>
          <w:b/>
          <w:bCs/>
          <w:color w:val="auto"/>
          <w:sz w:val="24"/>
          <w:szCs w:val="24"/>
          <w:highlight w:val="none"/>
        </w:rPr>
        <w:t xml:space="preserve">3.分项报价明细表（格式见附件）。</w:t>
      </w:r>
      <w:r/>
    </w:p>
    <w:p>
      <w:pPr>
        <w:ind w:firstLine="482"/>
        <w:jc w:val="left"/>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三、资格性要求</w:t>
      </w:r>
      <w:bookmarkEnd w:id="39"/>
      <w:r/>
      <w:r/>
    </w:p>
    <w:p>
      <w:pPr>
        <w:ind w:firstLine="482"/>
        <w:jc w:val="left"/>
        <w:spacing w:line="360" w:lineRule="auto"/>
        <w:rPr>
          <w:rFonts w:ascii="宋体" w:hAnsi="宋体" w:eastAsia="宋体" w:cs="宋体"/>
          <w:b/>
          <w:bCs/>
          <w:color w:val="auto"/>
          <w:sz w:val="24"/>
          <w:szCs w:val="24"/>
          <w:highlight w:val="none"/>
        </w:rPr>
        <w:outlineLvl w:val="2"/>
      </w:pPr>
      <w:r/>
      <w:bookmarkStart w:id="40" w:name="_Toc185280136"/>
      <w:r>
        <w:rPr>
          <w:rFonts w:hint="eastAsia" w:ascii="宋体" w:hAnsi="宋体" w:eastAsia="宋体" w:cs="宋体"/>
          <w:b/>
          <w:bCs/>
          <w:color w:val="auto"/>
          <w:sz w:val="24"/>
          <w:szCs w:val="24"/>
          <w:highlight w:val="none"/>
        </w:rPr>
        <w:t xml:space="preserve">（一）</w:t>
      </w:r>
      <w:bookmarkEnd w:id="40"/>
      <w:r/>
      <w:bookmarkStart w:id="41" w:name="_Toc185280137"/>
      <w:r>
        <w:rPr>
          <w:rFonts w:hint="eastAsia" w:ascii="宋体" w:hAnsi="宋体" w:eastAsia="宋体" w:cs="宋体"/>
          <w:b/>
          <w:bCs/>
          <w:color w:val="auto"/>
          <w:sz w:val="24"/>
          <w:szCs w:val="24"/>
          <w:highlight w:val="none"/>
        </w:rPr>
        <w:t xml:space="preserve">基本资格条件材料</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1.法人或者其他组织的营业执照等证明文件，自然人的身份证明。</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2.法定代表人身份证明书。</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3.法定代表人授权书（如有）。</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4.诚信承诺书。</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5.满足《中华人民共和国政府采购法》第二十二条规定，提供声明函：</w:t>
      </w:r>
      <w:r/>
    </w:p>
    <w:p>
      <w:pPr>
        <w:ind w:firstLine="480"/>
        <w:jc w:val="left"/>
        <w:spacing w:line="360"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（1）具有独立承担民事责任的能力；</w:t>
      </w:r>
      <w:r/>
    </w:p>
    <w:p>
      <w:pPr>
        <w:ind w:firstLine="480"/>
        <w:jc w:val="left"/>
        <w:spacing w:line="360"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（2）具有良好的商业信誉和健全的财务会计制度；</w:t>
      </w:r>
      <w:r/>
    </w:p>
    <w:p>
      <w:pPr>
        <w:ind w:firstLine="480"/>
        <w:jc w:val="left"/>
        <w:spacing w:line="360"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（3）具有履行合同所必需的设备和专业技术能力；</w:t>
      </w:r>
      <w:r/>
    </w:p>
    <w:p>
      <w:pPr>
        <w:ind w:firstLine="480"/>
        <w:jc w:val="left"/>
        <w:spacing w:line="360"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（4）有依法缴纳税收和社会保障资金的良好记录；</w:t>
      </w:r>
      <w:r/>
    </w:p>
    <w:p>
      <w:pPr>
        <w:ind w:firstLine="480"/>
        <w:jc w:val="left"/>
        <w:spacing w:line="360"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jc w:val="left"/>
        <w:spacing w:line="360"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（6）法律、行政法规规定的其他条件。</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（二）落实政府采购政策需满足的要求</w:t>
      </w:r>
      <w:bookmarkEnd w:id="41"/>
      <w:r>
        <w:rPr>
          <w:rFonts w:hint="eastAsia" w:ascii="宋体" w:hAnsi="宋体" w:eastAsia="宋体" w:cs="宋体"/>
          <w:b/>
          <w:bCs/>
          <w:color w:val="auto"/>
          <w:sz w:val="24"/>
          <w:szCs w:val="24"/>
          <w:highlight w:val="none"/>
        </w:rPr>
        <w:t xml:space="preserve">：/</w:t>
      </w:r>
      <w:r/>
    </w:p>
    <w:p>
      <w:pPr>
        <w:ind w:firstLine="482"/>
        <w:jc w:val="left"/>
        <w:spacing w:line="360" w:lineRule="auto"/>
        <w:rPr>
          <w:rFonts w:ascii="宋体" w:hAnsi="宋体" w:eastAsia="宋体" w:cs="宋体"/>
          <w:color w:val="auto"/>
          <w:sz w:val="24"/>
          <w:szCs w:val="24"/>
          <w:highlight w:val="none"/>
        </w:rPr>
        <w:outlineLvl w:val="2"/>
      </w:pPr>
      <w:r/>
      <w:bookmarkStart w:id="42" w:name="_Toc185280138"/>
      <w:r>
        <w:rPr>
          <w:rFonts w:hint="eastAsia" w:ascii="宋体" w:hAnsi="宋体" w:eastAsia="宋体" w:cs="宋体"/>
          <w:b/>
          <w:bCs/>
          <w:color w:val="auto"/>
          <w:sz w:val="24"/>
          <w:szCs w:val="24"/>
          <w:highlight w:val="none"/>
        </w:rPr>
        <w:t xml:space="preserve">（三）特定资格要求</w:t>
      </w:r>
      <w:bookmarkEnd w:id="42"/>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1.未被“信用中国”网站列入失信被执行人、重大税收违法案件当事人名单，未被“中国政府采购网”列入政府采购严重违法失信行为记录名单。</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投标人可以提供网站查询打印的截图。</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评标委员会在进行资格审查的同时，将在“信用中国”网站、“中国政府采购网”查询投标人的信用记录，以确定投标人是否具备投标资格，查询结果留存并归档。</w:t>
      </w:r>
      <w:r/>
    </w:p>
    <w:p>
      <w:pPr>
        <w:ind w:firstLine="482"/>
        <w:jc w:val="left"/>
        <w:spacing w:line="360" w:lineRule="auto"/>
        <w:rPr>
          <w:rFonts w:ascii="宋体" w:hAnsi="宋体" w:eastAsia="宋体" w:cs="宋体"/>
          <w:b/>
          <w:bCs/>
          <w:color w:val="auto"/>
          <w:sz w:val="24"/>
          <w:szCs w:val="24"/>
          <w:highlight w:val="none"/>
        </w:rPr>
        <w:outlineLvl w:val="1"/>
      </w:pPr>
      <w:r/>
      <w:bookmarkStart w:id="43" w:name="_Toc185280139"/>
      <w:r>
        <w:rPr>
          <w:rFonts w:hint="eastAsia" w:ascii="宋体" w:hAnsi="宋体" w:eastAsia="宋体" w:cs="宋体"/>
          <w:b/>
          <w:bCs/>
          <w:color w:val="auto"/>
          <w:sz w:val="24"/>
          <w:szCs w:val="24"/>
          <w:highlight w:val="none"/>
        </w:rPr>
        <w:t xml:space="preserve">四、符合性审查内容</w:t>
      </w:r>
      <w:bookmarkEnd w:id="43"/>
      <w:r/>
      <w:r/>
    </w:p>
    <w:p>
      <w:pPr>
        <w:ind w:firstLine="480"/>
        <w:jc w:val="left"/>
        <w:spacing w:line="360" w:lineRule="auto"/>
        <w:rPr>
          <w:rFonts w:ascii="宋体" w:hAnsi="宋体" w:eastAsia="宋体" w:cs="宋体"/>
          <w:b/>
          <w:bCs/>
          <w:color w:val="auto"/>
          <w:sz w:val="24"/>
          <w:szCs w:val="24"/>
          <w:highlight w:val="none"/>
        </w:rPr>
      </w:pPr>
      <w:r/>
      <w:bookmarkStart w:id="44" w:name="_Toc185280140"/>
      <w:r>
        <w:rPr>
          <w:rFonts w:hint="eastAsia" w:ascii="宋体" w:hAnsi="宋体" w:eastAsia="宋体" w:cs="宋体"/>
          <w:b/>
          <w:bCs/>
          <w:color w:val="auto"/>
          <w:sz w:val="24"/>
          <w:szCs w:val="24"/>
          <w:highlight w:val="none"/>
        </w:rPr>
        <w:t xml:space="preserve">（一）</w:t>
      </w:r>
      <w:bookmarkEnd w:id="44"/>
      <w:r/>
      <w:bookmarkStart w:id="45" w:name="_Toc185280141"/>
      <w:r>
        <w:rPr>
          <w:rFonts w:hint="eastAsia" w:ascii="宋体" w:hAnsi="宋体" w:eastAsia="宋体" w:cs="宋体"/>
          <w:b/>
          <w:bCs/>
          <w:color w:val="auto"/>
          <w:sz w:val="24"/>
          <w:szCs w:val="24"/>
          <w:highlight w:val="none"/>
        </w:rPr>
        <w:t xml:space="preserve">商务要求</w:t>
      </w:r>
      <w:bookmarkEnd w:id="45"/>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2.投标人一般情况表</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3.现场勘察函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4.针对本项目需提供实质性响应的“商务部分正负偏离表”：投标人应按照招标文件要求提供</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562"/>
        <w:spacing w:line="360" w:lineRule="auto"/>
        <w:rPr>
          <w:rFonts w:ascii="宋体" w:hAnsi="宋体" w:eastAsia="宋体" w:cs="宋体"/>
          <w:b/>
          <w:bCs/>
          <w:color w:val="auto"/>
          <w:sz w:val="24"/>
          <w:szCs w:val="24"/>
          <w:highlight w:val="none"/>
          <w:u w:val="single"/>
        </w:rPr>
      </w:pPr>
      <w:r/>
      <w:bookmarkStart w:id="46" w:name="_Toc185280142"/>
      <w:r>
        <w:rPr>
          <w:rFonts w:hint="eastAsia" w:ascii="宋体" w:hAnsi="宋体" w:eastAsia="宋体" w:cs="宋体"/>
          <w:b/>
          <w:bCs/>
          <w:color w:val="auto"/>
          <w:sz w:val="24"/>
          <w:szCs w:val="24"/>
          <w:highlight w:val="none"/>
        </w:rPr>
        <w:t xml:space="preserve">5.拟投入本项目人员明细表（格式见附件）</w:t>
      </w:r>
      <w:r/>
    </w:p>
    <w:p>
      <w:pPr>
        <w:ind w:firstLine="482"/>
        <w:jc w:val="left"/>
        <w:spacing w:line="360" w:lineRule="auto"/>
        <w:rPr>
          <w:rFonts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（二）技术要求</w:t>
      </w:r>
      <w:bookmarkEnd w:id="46"/>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1.针对本项目需提供实质性响应的“技术部分正负偏离表”：投标人应按照招标文件要求提供</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2"/>
        <w:jc w:val="left"/>
        <w:spacing w:line="360" w:lineRule="auto"/>
        <w:rPr>
          <w:rFonts w:ascii="宋体" w:hAnsi="宋体" w:eastAsia="宋体" w:cs="宋体"/>
          <w:b/>
          <w:bCs/>
          <w:color w:val="auto"/>
          <w:sz w:val="24"/>
          <w:szCs w:val="24"/>
          <w:highlight w:val="none"/>
        </w:rPr>
        <w:outlineLvl w:val="1"/>
      </w:pPr>
      <w:r/>
      <w:bookmarkStart w:id="47" w:name="_Toc185280143"/>
      <w:r/>
      <w:bookmarkStart w:id="48" w:name="_Hlk184555065"/>
      <w:r>
        <w:rPr>
          <w:rFonts w:hint="eastAsia" w:ascii="宋体" w:hAnsi="宋体" w:eastAsia="宋体" w:cs="宋体"/>
          <w:b/>
          <w:bCs/>
          <w:color w:val="auto"/>
          <w:sz w:val="24"/>
          <w:szCs w:val="24"/>
          <w:highlight w:val="none"/>
        </w:rPr>
        <w:t xml:space="preserve">五、商务技术标文件</w:t>
      </w:r>
      <w:bookmarkEnd w:id="47"/>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1.商务技术标评分标准中需提供的相关得分佐证材料</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bookmarkEnd w:id="48"/>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请投标人根据评分标准制作评分索引并放在评审内容的前面，如涉及系统内按章节节点分别上传对应内容的，请在每部分前放置评分索引。</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评分索引中应标明每个评分项目的页码范围。</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如响应文件内容顺序混乱，导致评委无法查看，后果自负。</w:t>
      </w:r>
      <w:r/>
    </w:p>
    <w:p>
      <w:pPr>
        <w:ind w:firstLine="482"/>
        <w:jc w:val="left"/>
        <w:spacing w:line="360" w:lineRule="auto"/>
        <w:rPr>
          <w:rFonts w:ascii="宋体" w:hAnsi="宋体" w:eastAsia="宋体" w:cs="宋体"/>
          <w:color w:val="auto"/>
          <w:sz w:val="24"/>
          <w:szCs w:val="24"/>
          <w:highlight w:val="none"/>
        </w:rPr>
        <w:outlineLvl w:val="1"/>
      </w:pPr>
      <w:r/>
      <w:bookmarkStart w:id="49" w:name="_Toc185280144"/>
      <w:r>
        <w:rPr>
          <w:rFonts w:hint="eastAsia" w:ascii="宋体" w:hAnsi="宋体" w:eastAsia="宋体" w:cs="宋体"/>
          <w:b/>
          <w:bCs/>
          <w:color w:val="auto"/>
          <w:sz w:val="24"/>
          <w:szCs w:val="24"/>
          <w:highlight w:val="none"/>
        </w:rPr>
        <w:t xml:space="preserve">六、企业报价折扣证明</w:t>
      </w:r>
      <w:bookmarkEnd w:id="49"/>
      <w:r/>
      <w:bookmarkStart w:id="50" w:name="OLE_LINK1"/>
      <w:r/>
      <w:bookmarkStart w:id="51" w:name="_Toc185280145"/>
      <w:r>
        <w:rPr>
          <w:rFonts w:hint="eastAsia" w:ascii="宋体" w:hAnsi="宋体" w:eastAsia="宋体" w:cs="宋体"/>
          <w:b/>
          <w:bCs/>
          <w:color w:val="auto"/>
          <w:sz w:val="24"/>
          <w:szCs w:val="24"/>
          <w:highlight w:val="none"/>
        </w:rPr>
        <w:t xml:space="preserve">（如有）</w:t>
      </w:r>
      <w:bookmarkEnd w:id="50"/>
      <w:r/>
      <w:r/>
    </w:p>
    <w:p>
      <w:pPr>
        <w:ind w:firstLine="487"/>
        <w:jc w:val="left"/>
        <w:spacing w:line="420" w:lineRule="exact"/>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zh-CN"/>
        </w:rPr>
        <w:t xml:space="preserve">提供中小企业声明函（见格式）或《残疾人福利性单位声明函》或监狱和戒毒企业证明材料</w:t>
      </w:r>
      <w:r>
        <w:rPr>
          <w:rFonts w:hint="eastAsia" w:ascii="宋体" w:hAnsi="宋体" w:eastAsia="宋体" w:cs="宋体"/>
          <w:b/>
          <w:bCs/>
          <w:color w:val="auto"/>
          <w:sz w:val="24"/>
          <w:szCs w:val="24"/>
          <w:highlight w:val="none"/>
        </w:rPr>
        <w:t xml:space="preserve">。</w:t>
      </w: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ind w:firstLine="487"/>
        <w:jc w:val="left"/>
        <w:spacing w:line="420" w:lineRule="exact"/>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七、投标文件格式</w:t>
      </w:r>
      <w:bookmarkEnd w:id="51"/>
      <w:r/>
      <w:r/>
    </w:p>
    <w:p>
      <w:pPr>
        <w:ind w:firstLine="488"/>
        <w:jc w:val="left"/>
        <w:spacing w:line="420" w:lineRule="exact"/>
        <w:rPr>
          <w:rFonts w:ascii="宋体" w:hAnsi="宋体" w:eastAsia="宋体" w:cs="宋体"/>
          <w:b/>
          <w:bCs/>
          <w:color w:val="auto"/>
          <w:sz w:val="24"/>
          <w:szCs w:val="24"/>
          <w:highlight w:val="none"/>
        </w:rPr>
        <w:outlineLvl w:val="2"/>
      </w:pPr>
      <w:r/>
      <w:bookmarkStart w:id="52" w:name="_Toc185280146"/>
      <w:r>
        <w:rPr>
          <w:rFonts w:hint="eastAsia" w:ascii="宋体" w:hAnsi="宋体" w:eastAsia="宋体" w:cs="宋体"/>
          <w:b/>
          <w:bCs/>
          <w:color w:val="auto"/>
          <w:sz w:val="24"/>
          <w:szCs w:val="24"/>
          <w:highlight w:val="none"/>
        </w:rPr>
        <w:t xml:space="preserve">（一）投标文件封面</w:t>
      </w:r>
      <w:bookmarkEnd w:id="52"/>
      <w:r/>
      <w:r/>
    </w:p>
    <w:p>
      <w:pPr>
        <w:ind w:firstLine="485"/>
        <w:jc w:val="left"/>
        <w:spacing w:line="420" w:lineRule="exact"/>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投标文件</w:t>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ind w:firstLine="1084"/>
        <w:rPr>
          <w:rFonts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项目名称：</w:t>
      </w:r>
      <w:r/>
    </w:p>
    <w:p>
      <w:pPr>
        <w:ind w:firstLine="1084"/>
        <w:rPr>
          <w:rFonts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项目编号：</w:t>
      </w:r>
      <w:r/>
    </w:p>
    <w:p>
      <w:pPr>
        <w:ind w:firstLine="1084"/>
        <w:rPr>
          <w:rFonts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投标人名称：</w:t>
      </w:r>
      <w:r>
        <w:rPr>
          <w:rFonts w:hint="eastAsia" w:ascii="宋体" w:hAnsi="宋体" w:eastAsia="宋体" w:cs="宋体"/>
          <w:b/>
          <w:color w:val="auto"/>
          <w:sz w:val="36"/>
          <w:szCs w:val="21"/>
          <w:highlight w:val="none"/>
          <w:u w:val="single"/>
        </w:rPr>
        <w:t xml:space="preserve">（加盖CA电子公章）</w:t>
      </w:r>
      <w:r/>
    </w:p>
    <w:p>
      <w:pPr>
        <w:ind w:firstLine="1084"/>
        <w:rPr>
          <w:rFonts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日期：</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87"/>
        <w:jc w:val="left"/>
        <w:spacing w:line="420" w:lineRule="exact"/>
        <w:rPr>
          <w:rFonts w:ascii="宋体" w:hAnsi="宋体" w:eastAsia="宋体" w:cs="宋体"/>
          <w:b/>
          <w:bCs/>
          <w:color w:val="auto"/>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1"/>
      </w:pPr>
      <w:r>
        <w:rPr>
          <w:rFonts w:ascii="宋体" w:hAnsi="宋体" w:eastAsia="宋体" w:cs="宋体"/>
          <w:b/>
          <w:bCs/>
          <w:color w:val="auto"/>
          <w:highlight w:val="none"/>
        </w:rPr>
      </w:r>
      <w:r/>
    </w:p>
    <w:p>
      <w:pPr>
        <w:ind w:firstLine="482"/>
        <w:jc w:val="left"/>
        <w:spacing w:line="360" w:lineRule="auto"/>
        <w:rPr>
          <w:rFonts w:ascii="宋体" w:hAnsi="宋体" w:eastAsia="宋体" w:cs="宋体"/>
          <w:b/>
          <w:bCs/>
          <w:color w:val="auto"/>
          <w:sz w:val="24"/>
          <w:szCs w:val="24"/>
          <w:highlight w:val="none"/>
        </w:rPr>
        <w:outlineLvl w:val="2"/>
      </w:pPr>
      <w:r/>
      <w:bookmarkStart w:id="53" w:name="_Toc185280147"/>
      <w:r/>
      <w:bookmarkStart w:id="54" w:name="_Hlk183992601"/>
      <w:r>
        <w:rPr>
          <w:rFonts w:hint="eastAsia" w:ascii="宋体" w:hAnsi="宋体" w:eastAsia="宋体" w:cs="宋体"/>
          <w:b/>
          <w:bCs/>
          <w:color w:val="auto"/>
          <w:sz w:val="24"/>
          <w:szCs w:val="24"/>
          <w:highlight w:val="none"/>
        </w:rPr>
        <w:t xml:space="preserve">（二）附件</w:t>
      </w:r>
      <w:bookmarkEnd w:id="53"/>
      <w:r/>
      <w:r/>
    </w:p>
    <w:p>
      <w:pPr>
        <w:ind w:firstLine="482"/>
        <w:jc w:val="left"/>
        <w:spacing w:line="420" w:lineRule="exact"/>
        <w:rPr>
          <w:rFonts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附件1：目录</w:t>
      </w:r>
      <w:r/>
    </w:p>
    <w:p>
      <w:pPr>
        <w:ind w:firstLine="482"/>
        <w:jc w:val="center"/>
        <w:spacing w:line="400" w:lineRule="exact"/>
        <w:rPr>
          <w:rFonts w:ascii="宋体" w:hAnsi="宋体" w:eastAsia="宋体" w:cs="宋体"/>
          <w:b/>
          <w:bCs/>
          <w:color w:val="auto"/>
          <w:sz w:val="24"/>
          <w:szCs w:val="24"/>
          <w:highlight w:val="none"/>
        </w:rPr>
      </w:pPr>
      <w:r/>
      <w:bookmarkStart w:id="55" w:name="_Hlk183992565"/>
      <w:r>
        <w:rPr>
          <w:rFonts w:hint="eastAsia" w:ascii="宋体" w:hAnsi="宋体" w:eastAsia="宋体" w:cs="宋体"/>
          <w:b/>
          <w:bCs/>
          <w:color w:val="auto"/>
          <w:sz w:val="24"/>
          <w:szCs w:val="24"/>
          <w:highlight w:val="none"/>
        </w:rPr>
        <w:t xml:space="preserve">目录</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一、投标报价表</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二、资格性要求</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（一）基本资格条件材料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2.法定代表人身份证明书。</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3.法定代表人授权书（如有）。</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4.诚信承诺书。</w:t>
      </w:r>
      <w:r/>
    </w:p>
    <w:p>
      <w:pPr>
        <w:ind w:firstLine="480"/>
        <w:spacing w:line="400" w:lineRule="exact"/>
        <w:rPr>
          <w:rFonts w:ascii="宋体" w:hAnsi="宋体" w:eastAsia="宋体" w:cs="宋体"/>
          <w:color w:val="auto"/>
          <w:highlight w:val="none"/>
        </w:rPr>
      </w:pPr>
      <w:r>
        <w:rPr>
          <w:rFonts w:hint="eastAsia" w:ascii="宋体" w:hAnsi="宋体" w:eastAsia="宋体" w:cs="宋体"/>
          <w:color w:val="auto"/>
          <w:sz w:val="24"/>
          <w:szCs w:val="24"/>
          <w:highlight w:val="none"/>
        </w:rPr>
        <w:t xml:space="preserve">5.满足《中华人民共和国政府采购法》第二十二条规定，提供声明函。</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（二）落实政府采购政策提供的材料:/</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（三）满足特定资格要求提供的材料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未被“信用中国”网站列入失信被执行人、重大税收违法案件当事人名单，未被“中国政府采购网”列入政府采购严重违法失信行为记录名单。</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三、符合性审查内容要求提供的材料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（一）符合商务要求提供的材料：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1.投标响应函。</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2.投标人一般情况表。</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3.现场勘察函。</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4.实质性响应的“商务部分正负偏离表”。</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5.拟投入本项目人员明细表</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（二）符合技术要求提供的材料：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1.实质性响应的“技术部分正负偏离表”。</w:t>
      </w:r>
      <w:r/>
    </w:p>
    <w:p>
      <w:pPr>
        <w:ind w:firstLine="482"/>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四、商务技术标文件提供的材料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1.商务技术标评分标准中须提供的相关得分佐证材料。按“评分项目”编制目录。</w:t>
      </w:r>
      <w:r/>
    </w:p>
    <w:p>
      <w:pPr>
        <w:ind w:firstLine="480"/>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五、企业报价折扣证明（如有）</w:t>
      </w:r>
      <w:r/>
    </w:p>
    <w:p>
      <w:pPr>
        <w:ind w:firstLine="487"/>
        <w:jc w:val="left"/>
        <w:spacing w:line="420" w:lineRule="exact"/>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zh-CN"/>
        </w:rPr>
        <w:t xml:space="preserve">提供中小企业声明函（见格式）或《残疾人福利性单位声明函》或监狱和戒毒企业证明材料</w:t>
      </w:r>
      <w:r>
        <w:rPr>
          <w:rFonts w:hint="eastAsia" w:ascii="宋体" w:hAnsi="宋体" w:eastAsia="宋体" w:cs="宋体"/>
          <w:b/>
          <w:bCs/>
          <w:color w:val="auto"/>
          <w:sz w:val="24"/>
          <w:szCs w:val="24"/>
          <w:highlight w:val="none"/>
        </w:rPr>
        <w:t xml:space="preserve">。</w:t>
      </w:r>
      <w:r/>
    </w:p>
    <w:p>
      <w:pPr>
        <w:ind w:firstLine="482"/>
        <w:jc w:val="center"/>
        <w:spacing w:line="400" w:lineRule="exact"/>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注：该目录在制作响应文件时，供参考。</w:t>
      </w:r>
      <w:bookmarkEnd w:id="54"/>
      <w:r/>
      <w:bookmarkEnd w:id="55"/>
      <w:r/>
      <w:r/>
    </w:p>
    <w:p>
      <w:pPr>
        <w:ind w:firstLine="482"/>
        <w:jc w:val="left"/>
        <w:spacing w:line="400" w:lineRule="exact"/>
        <w:rPr>
          <w:rFonts w:ascii="宋体" w:hAnsi="宋体" w:eastAsia="宋体" w:cs="宋体"/>
          <w:b/>
          <w:bCs/>
          <w:color w:val="auto"/>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ascii="宋体" w:hAnsi="宋体" w:eastAsia="宋体" w:cs="宋体"/>
          <w:b/>
          <w:bCs/>
          <w:color w:val="auto"/>
          <w:sz w:val="24"/>
          <w:szCs w:val="24"/>
          <w:highlight w:val="none"/>
        </w:rPr>
      </w:r>
      <w:r/>
    </w:p>
    <w:p>
      <w:pPr>
        <w:jc w:val="left"/>
        <w:spacing w:line="420" w:lineRule="exact"/>
        <w:rPr>
          <w:rFonts w:ascii="宋体" w:hAnsi="宋体" w:eastAsia="宋体" w:cs="宋体"/>
          <w:b/>
          <w:bCs/>
          <w:color w:val="auto"/>
          <w:highlight w:val="none"/>
        </w:rPr>
        <w:outlineLvl w:val="3"/>
      </w:pPr>
      <w:r/>
      <w:bookmarkStart w:id="56" w:name="_Hlk183993254"/>
      <w:r>
        <w:rPr>
          <w:rFonts w:hint="eastAsia" w:ascii="宋体" w:hAnsi="宋体" w:eastAsia="宋体" w:cs="宋体"/>
          <w:b/>
          <w:bCs/>
          <w:color w:val="auto"/>
          <w:highlight w:val="none"/>
        </w:rPr>
        <w:t xml:space="preserve">附件：</w:t>
      </w:r>
      <w:r/>
    </w:p>
    <w:p>
      <w:pPr>
        <w:jc w:val="center"/>
        <w:spacing w:before="240" w:after="240" w:line="42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投标报价表（</w:t>
      </w:r>
      <w:r>
        <w:rPr>
          <w:rFonts w:hint="eastAsia" w:ascii="宋体" w:hAnsi="宋体" w:eastAsia="宋体" w:cs="宋体"/>
          <w:b/>
          <w:bCs/>
          <w:color w:val="auto"/>
          <w:sz w:val="28"/>
          <w:szCs w:val="28"/>
          <w:highlight w:val="none"/>
          <w:u w:val="single"/>
        </w:rPr>
        <w:t xml:space="preserve">以苏采云系统内的格式为准</w:t>
      </w:r>
      <w:r>
        <w:rPr>
          <w:rFonts w:hint="eastAsia" w:ascii="宋体" w:hAnsi="宋体" w:eastAsia="宋体" w:cs="宋体"/>
          <w:b/>
          <w:bCs/>
          <w:color w:val="auto"/>
          <w:sz w:val="28"/>
          <w:szCs w:val="28"/>
          <w:highlight w:val="none"/>
        </w:rPr>
        <w:t xml:space="preserve">）</w:t>
      </w:r>
      <w:r/>
    </w:p>
    <w:p>
      <w:pPr>
        <w:spacing w:line="4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bl>
      <w:tblPr>
        <w:tblStyle w:val="793"/>
        <w:tblW w:w="5096"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9"/>
        <w:gridCol w:w="7423"/>
      </w:tblGrid>
      <w:tr>
        <w:trPr>
          <w:trHeight w:val="684"/>
        </w:trPr>
        <w:tc>
          <w:tcPr>
            <w:tcW w:w="266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项目名称</w:t>
            </w:r>
            <w:r/>
          </w:p>
        </w:tc>
        <w:tc>
          <w:tcPr>
            <w:tcW w:w="6799" w:type="dxa"/>
            <w:vAlign w:val="center"/>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trHeight w:val="684"/>
        </w:trPr>
        <w:tc>
          <w:tcPr>
            <w:tcW w:w="266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项目编号</w:t>
            </w:r>
            <w:r/>
          </w:p>
        </w:tc>
        <w:tc>
          <w:tcPr>
            <w:tcW w:w="6799" w:type="dxa"/>
            <w:vAlign w:val="center"/>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trHeight w:val="1427"/>
        </w:trPr>
        <w:tc>
          <w:tcPr>
            <w:tcW w:w="2665" w:type="dxa"/>
            <w:vAlign w:val="center"/>
            <w:textDirection w:val="lrTb"/>
            <w:noWrap/>
          </w:tcPr>
          <w:p>
            <w:pPr>
              <w:jc w:val="center"/>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lang w:eastAsia="en-US"/>
              </w:rPr>
              <w:t xml:space="preserve">投标报价</w:t>
            </w:r>
            <w:r/>
          </w:p>
        </w:tc>
        <w:tc>
          <w:tcPr>
            <w:tcW w:w="6799" w:type="dxa"/>
            <w:vAlign w:val="center"/>
            <w:textDirection w:val="lrTb"/>
            <w:noWrap/>
          </w:tcPr>
          <w:p>
            <w:pPr>
              <w:spacing w:line="360" w:lineRule="auto"/>
              <w:rPr>
                <w:rFonts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大写</w:t>
            </w:r>
            <w:r>
              <w:rPr>
                <w:rFonts w:hint="eastAsia" w:ascii="宋体" w:hAnsi="宋体" w:eastAsia="宋体" w:cs="宋体"/>
                <w:bCs/>
                <w:color w:val="auto"/>
                <w:sz w:val="24"/>
                <w:szCs w:val="24"/>
                <w:highlight w:val="none"/>
                <w:u w:val="single"/>
                <w:lang w:eastAsia="en-US"/>
              </w:rPr>
              <w:t xml:space="preserve">：                    </w:t>
            </w:r>
            <w:r>
              <w:rPr>
                <w:rFonts w:hint="eastAsia" w:ascii="宋体" w:hAnsi="宋体" w:eastAsia="宋体" w:cs="宋体"/>
                <w:bCs/>
                <w:color w:val="auto"/>
                <w:sz w:val="24"/>
                <w:szCs w:val="24"/>
                <w:highlight w:val="none"/>
                <w:lang w:eastAsia="en-US"/>
              </w:rPr>
              <w:t xml:space="preserve">；</w:t>
            </w:r>
            <w:r/>
          </w:p>
          <w:p>
            <w:pPr>
              <w:spacing w:line="360" w:lineRule="auto"/>
              <w:rPr>
                <w:rFonts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小写</w:t>
            </w:r>
            <w:r>
              <w:rPr>
                <w:rFonts w:hint="eastAsia" w:ascii="宋体" w:hAnsi="宋体" w:eastAsia="宋体" w:cs="宋体"/>
                <w:bCs/>
                <w:color w:val="auto"/>
                <w:sz w:val="24"/>
                <w:szCs w:val="24"/>
                <w:highlight w:val="none"/>
                <w:u w:val="single"/>
                <w:lang w:eastAsia="en-US"/>
              </w:rPr>
              <w:t xml:space="preserve">：                    </w:t>
            </w:r>
            <w:r>
              <w:rPr>
                <w:rFonts w:hint="eastAsia" w:ascii="宋体" w:hAnsi="宋体" w:eastAsia="宋体" w:cs="宋体"/>
                <w:bCs/>
                <w:color w:val="auto"/>
                <w:sz w:val="24"/>
                <w:szCs w:val="24"/>
                <w:highlight w:val="none"/>
                <w:lang w:eastAsia="en-US"/>
              </w:rPr>
              <w:t xml:space="preserve">。</w:t>
            </w:r>
            <w:r/>
          </w:p>
        </w:tc>
      </w:tr>
    </w:tbl>
    <w:p>
      <w:pPr>
        <w:spacing w:line="4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20" w:lineRule="exact"/>
        <w:rPr>
          <w:rFonts w:ascii="宋体" w:hAnsi="宋体" w:eastAsia="宋体" w:cs="宋体"/>
          <w:color w:val="auto"/>
          <w:sz w:val="24"/>
          <w:szCs w:val="24"/>
          <w:highlight w:val="none"/>
        </w:rPr>
      </w:pPr>
      <w:r/>
      <w:bookmarkStart w:id="57" w:name="_Hlk18344294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pStyle w:val="885"/>
        <w:ind w:firstLine="48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投标人根据自身实力及具体情况对各服务内容综合评估后自行报价，如参加投标即视为接受本项目价格要求。</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投标人（加盖CA电子签章）：</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 </w:t>
      </w:r>
      <w:bookmarkEnd w:id="57"/>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2"/>
        <w:spacing w:line="360" w:lineRule="auto"/>
        <w:rPr>
          <w:rFonts w:ascii="宋体" w:hAnsi="宋体" w:eastAsia="宋体" w:cs="宋体"/>
          <w:b/>
          <w:bCs/>
          <w:color w:val="auto"/>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ascii="宋体" w:hAnsi="宋体" w:eastAsia="宋体" w:cs="宋体"/>
          <w:b/>
          <w:bCs/>
          <w:color w:val="auto"/>
          <w:sz w:val="24"/>
          <w:szCs w:val="24"/>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分项报价明细表</w:t>
      </w:r>
      <w:r/>
    </w:p>
    <w:p>
      <w:pPr>
        <w:ind w:firstLine="44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p>
      <w:pPr>
        <w:ind w:firstLine="44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p>
    <w:tbl>
      <w:tblPr>
        <w:tblStyle w:val="793"/>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175"/>
        <w:gridCol w:w="1451"/>
        <w:gridCol w:w="3113"/>
        <w:gridCol w:w="776"/>
        <w:gridCol w:w="745"/>
        <w:gridCol w:w="1102"/>
        <w:gridCol w:w="994"/>
      </w:tblGrid>
      <w:tr>
        <w:trPr>
          <w:jc w:val="center"/>
          <w:trHeight w:val="1309"/>
          <w:tblHeader/>
        </w:trPr>
        <w:tc>
          <w:tcPr>
            <w:tcMar>
              <w:left w:w="120" w:type="dxa"/>
              <w:top w:w="60" w:type="dxa"/>
              <w:right w:w="120" w:type="dxa"/>
              <w:bottom w:w="30" w:type="dxa"/>
            </w:tcMar>
            <w:tcW w:w="1175"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小类</w:t>
            </w:r>
            <w:r/>
          </w:p>
        </w:tc>
        <w:tc>
          <w:tcPr>
            <w:tcMar>
              <w:left w:w="120" w:type="dxa"/>
              <w:top w:w="60" w:type="dxa"/>
              <w:right w:w="120" w:type="dxa"/>
              <w:bottom w:w="30" w:type="dxa"/>
            </w:tcMar>
            <w:tcW w:w="1451"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w:t>
            </w:r>
            <w:r/>
          </w:p>
        </w:tc>
        <w:tc>
          <w:tcPr>
            <w:tcMar>
              <w:left w:w="120" w:type="dxa"/>
              <w:top w:w="60" w:type="dxa"/>
              <w:right w:w="120" w:type="dxa"/>
              <w:bottom w:w="30" w:type="dxa"/>
            </w:tcMar>
            <w:tcW w:w="3113"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基本要求</w:t>
            </w:r>
            <w:r/>
          </w:p>
        </w:tc>
        <w:tc>
          <w:tcPr>
            <w:tcMar>
              <w:left w:w="120" w:type="dxa"/>
              <w:top w:w="60" w:type="dxa"/>
              <w:right w:w="120" w:type="dxa"/>
              <w:bottom w:w="30" w:type="dxa"/>
            </w:tcMar>
            <w:tcW w:w="776"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单价</w:t>
            </w:r>
            <w:r/>
          </w:p>
        </w:tc>
        <w:tc>
          <w:tcPr>
            <w:tcMar>
              <w:left w:w="120" w:type="dxa"/>
              <w:top w:w="60" w:type="dxa"/>
              <w:right w:w="120" w:type="dxa"/>
              <w:bottom w:w="30" w:type="dxa"/>
            </w:tcMar>
            <w:tcW w:w="745"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w:t>
            </w:r>
            <w:r/>
          </w:p>
        </w:tc>
        <w:tc>
          <w:tcPr>
            <w:tcMar>
              <w:left w:w="120" w:type="dxa"/>
              <w:top w:w="60" w:type="dxa"/>
              <w:right w:w="120" w:type="dxa"/>
              <w:bottom w:w="30" w:type="dxa"/>
            </w:tcMar>
            <w:tcW w:w="1102"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小计</w:t>
            </w:r>
            <w:r/>
          </w:p>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（元）</w:t>
            </w:r>
            <w:r/>
          </w:p>
        </w:tc>
        <w:tc>
          <w:tcPr>
            <w:tcMar>
              <w:left w:w="120" w:type="dxa"/>
              <w:top w:w="60" w:type="dxa"/>
              <w:right w:w="120" w:type="dxa"/>
              <w:bottom w:w="30" w:type="dxa"/>
            </w:tcMar>
            <w:tcW w:w="994"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jc w:val="center"/>
          <w:trHeight w:val="1189"/>
        </w:trPr>
        <w:tc>
          <w:tcPr>
            <w:tcMar>
              <w:left w:w="120" w:type="dxa"/>
              <w:top w:w="60" w:type="dxa"/>
              <w:right w:w="120" w:type="dxa"/>
              <w:bottom w:w="30" w:type="dxa"/>
            </w:tcMar>
            <w:tcW w:w="117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制度控制</w:t>
            </w:r>
            <w:r/>
          </w:p>
        </w:tc>
        <w:tc>
          <w:tcPr>
            <w:tcMar>
              <w:left w:w="120" w:type="dxa"/>
              <w:top w:w="60" w:type="dxa"/>
              <w:right w:w="120" w:type="dxa"/>
              <w:bottom w:w="30" w:type="dxa"/>
            </w:tcMar>
            <w:tcW w:w="1451"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围墙建设维护、安保</w:t>
            </w:r>
            <w:r/>
          </w:p>
        </w:tc>
        <w:tc>
          <w:tcPr>
            <w:tcMar>
              <w:left w:w="120" w:type="dxa"/>
              <w:top w:w="60" w:type="dxa"/>
              <w:right w:w="120" w:type="dxa"/>
              <w:bottom w:w="30" w:type="dxa"/>
            </w:tcMar>
            <w:tcW w:w="3113"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用彩钢板对四周围墙破损缺失部位进行加固和维修（约60m长、2m高）</w:t>
            </w:r>
            <w:r/>
          </w:p>
        </w:tc>
        <w:tc>
          <w:tcPr>
            <w:tcMar>
              <w:left w:w="120" w:type="dxa"/>
              <w:top w:w="60" w:type="dxa"/>
              <w:right w:w="120" w:type="dxa"/>
              <w:bottom w:w="30" w:type="dxa"/>
            </w:tcMar>
            <w:tcW w:w="776"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74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tc>
        <w:tc>
          <w:tcPr>
            <w:tcMar>
              <w:left w:w="120" w:type="dxa"/>
              <w:top w:w="60" w:type="dxa"/>
              <w:right w:w="120" w:type="dxa"/>
              <w:bottom w:w="30" w:type="dxa"/>
            </w:tcMar>
            <w:tcW w:w="1102"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994"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2668"/>
        </w:trPr>
        <w:tc>
          <w:tcPr>
            <w:tcMar>
              <w:left w:w="120" w:type="dxa"/>
              <w:top w:w="60" w:type="dxa"/>
              <w:right w:w="120" w:type="dxa"/>
              <w:bottom w:w="30" w:type="dxa"/>
            </w:tcMar>
            <w:tcW w:w="117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污染土壤和地下水风险管控</w:t>
            </w:r>
            <w:r/>
          </w:p>
        </w:tc>
        <w:tc>
          <w:tcPr>
            <w:tcMar>
              <w:left w:w="120" w:type="dxa"/>
              <w:top w:w="60" w:type="dxa"/>
              <w:right w:w="120" w:type="dxa"/>
              <w:bottom w:w="30" w:type="dxa"/>
            </w:tcMar>
            <w:tcW w:w="1451"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垂直阻隔</w:t>
            </w:r>
            <w:r/>
          </w:p>
        </w:tc>
        <w:tc>
          <w:tcPr>
            <w:tcMar>
              <w:left w:w="120" w:type="dxa"/>
              <w:top w:w="60" w:type="dxa"/>
              <w:right w:w="120" w:type="dxa"/>
              <w:bottom w:w="30" w:type="dxa"/>
            </w:tcMar>
            <w:tcW w:w="3113"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周长342m、深度约36.5m，阻隔墙厚度0.8m</w:t>
            </w:r>
            <w:r/>
          </w:p>
        </w:tc>
        <w:tc>
          <w:tcPr>
            <w:tcMar>
              <w:left w:w="120" w:type="dxa"/>
              <w:top w:w="60" w:type="dxa"/>
              <w:right w:w="120" w:type="dxa"/>
              <w:bottom w:w="30" w:type="dxa"/>
            </w:tcMar>
            <w:tcW w:w="776"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74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m³</w:t>
            </w:r>
            <w:r/>
          </w:p>
        </w:tc>
        <w:tc>
          <w:tcPr>
            <w:tcMar>
              <w:left w:w="120" w:type="dxa"/>
              <w:top w:w="60" w:type="dxa"/>
              <w:right w:w="120" w:type="dxa"/>
              <w:bottom w:w="30" w:type="dxa"/>
            </w:tcMar>
            <w:tcW w:w="1102"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994"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含施工单位需开展的水文地质补充勘察、阻隔墙效果自检等工作经费</w:t>
            </w:r>
            <w:r/>
          </w:p>
        </w:tc>
      </w:tr>
      <w:tr>
        <w:trPr>
          <w:jc w:val="center"/>
          <w:trHeight w:val="2893"/>
        </w:trPr>
        <w:tc>
          <w:tcPr>
            <w:tcMar>
              <w:left w:w="120" w:type="dxa"/>
              <w:top w:w="60" w:type="dxa"/>
              <w:right w:w="120" w:type="dxa"/>
              <w:bottom w:w="30" w:type="dxa"/>
            </w:tcMar>
            <w:tcW w:w="117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微生物衰减削减</w:t>
            </w:r>
            <w:r/>
          </w:p>
        </w:tc>
        <w:tc>
          <w:tcPr>
            <w:tcMar>
              <w:left w:w="120" w:type="dxa"/>
              <w:top w:w="60" w:type="dxa"/>
              <w:right w:w="120" w:type="dxa"/>
              <w:bottom w:w="30" w:type="dxa"/>
            </w:tcMar>
            <w:tcW w:w="1451"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微生物衰减措施</w:t>
            </w:r>
            <w:r/>
          </w:p>
        </w:tc>
        <w:tc>
          <w:tcPr>
            <w:tcMar>
              <w:left w:w="120" w:type="dxa"/>
              <w:top w:w="60" w:type="dxa"/>
              <w:right w:w="120" w:type="dxa"/>
              <w:bottom w:w="30" w:type="dxa"/>
            </w:tcMar>
            <w:tcW w:w="3113"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针对超风险污染土壤和地下水区域，采用微生物强化衰减技术，加速土壤和地下水中修复目标污染物浓度降解30%；污染土壤面积约1696㎡，修复深度为5m；污染地下水面积约727㎡，修复深度为6m，总修复量预计12842m³</w:t>
            </w:r>
            <w:r/>
          </w:p>
        </w:tc>
        <w:tc>
          <w:tcPr>
            <w:tcMar>
              <w:left w:w="120" w:type="dxa"/>
              <w:top w:w="60" w:type="dxa"/>
              <w:right w:w="120" w:type="dxa"/>
              <w:bottom w:w="30" w:type="dxa"/>
            </w:tcMar>
            <w:tcW w:w="776"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74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w:t>
            </w:r>
            <w:r/>
          </w:p>
        </w:tc>
        <w:tc>
          <w:tcPr>
            <w:tcMar>
              <w:left w:w="120" w:type="dxa"/>
              <w:top w:w="60" w:type="dxa"/>
              <w:right w:w="120" w:type="dxa"/>
              <w:bottom w:w="30" w:type="dxa"/>
            </w:tcMar>
            <w:tcW w:w="1102"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994"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1474"/>
        </w:trPr>
        <w:tc>
          <w:tcPr>
            <w:tcMar>
              <w:left w:w="120" w:type="dxa"/>
              <w:top w:w="60" w:type="dxa"/>
              <w:right w:w="120" w:type="dxa"/>
              <w:bottom w:w="30" w:type="dxa"/>
            </w:tcMar>
            <w:tcW w:w="117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钻探和检测费</w:t>
            </w:r>
            <w:r/>
          </w:p>
        </w:tc>
        <w:tc>
          <w:tcPr>
            <w:tcMar>
              <w:left w:w="120" w:type="dxa"/>
              <w:top w:w="60" w:type="dxa"/>
              <w:right w:w="120" w:type="dxa"/>
              <w:bottom w:w="30" w:type="dxa"/>
            </w:tcMar>
            <w:tcW w:w="1451"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地下水、环境空气、土壤等采样检测费用</w:t>
            </w:r>
            <w:r/>
          </w:p>
        </w:tc>
        <w:tc>
          <w:tcPr>
            <w:tcMar>
              <w:left w:w="120" w:type="dxa"/>
              <w:top w:w="60" w:type="dxa"/>
              <w:right w:w="120" w:type="dxa"/>
              <w:bottom w:w="30" w:type="dxa"/>
            </w:tcMar>
            <w:tcW w:w="3113"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钻探预计230m ，按照《污染地块风险管控与土壤修复效果评估技术导则（试行）》（HJ 25.5—2018）、污染地块地下水修复和风险管控技术导则（HJ 25.6—2019）等国家规范要求采样，出具报告。</w:t>
            </w:r>
            <w:r/>
          </w:p>
        </w:tc>
        <w:tc>
          <w:tcPr>
            <w:tcMar>
              <w:left w:w="120" w:type="dxa"/>
              <w:top w:w="60" w:type="dxa"/>
              <w:right w:w="120" w:type="dxa"/>
              <w:bottom w:w="30" w:type="dxa"/>
            </w:tcMar>
            <w:tcW w:w="776"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745"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w:t>
            </w:r>
            <w:r/>
          </w:p>
        </w:tc>
        <w:tc>
          <w:tcPr>
            <w:tcMar>
              <w:left w:w="120" w:type="dxa"/>
              <w:top w:w="60" w:type="dxa"/>
              <w:right w:w="120" w:type="dxa"/>
              <w:bottom w:w="30" w:type="dxa"/>
            </w:tcMar>
            <w:tcW w:w="1102" w:type="dxa"/>
            <w:vAlign w:val="center"/>
            <w:textDirection w:val="lrTb"/>
            <w:noWrap w:val="false"/>
          </w:tcPr>
          <w:p>
            <w:pPr>
              <w:jc w:val="righ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Mar>
              <w:left w:w="120" w:type="dxa"/>
              <w:top w:w="60" w:type="dxa"/>
              <w:right w:w="120" w:type="dxa"/>
              <w:bottom w:w="30" w:type="dxa"/>
            </w:tcMar>
            <w:tcW w:w="994" w:type="dxa"/>
            <w:vAlign w:val="center"/>
            <w:textDirection w:val="lrTb"/>
            <w:noWrap w:val="false"/>
          </w:tcPr>
          <w:p>
            <w:pPr>
              <w:jc w:val="left"/>
              <w:spacing w:before="120" w:after="120"/>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632"/>
        </w:trPr>
        <w:tc>
          <w:tcPr>
            <w:gridSpan w:val="7"/>
            <w:tcMar>
              <w:left w:w="120" w:type="dxa"/>
              <w:top w:w="60" w:type="dxa"/>
              <w:right w:w="120" w:type="dxa"/>
              <w:bottom w:w="30" w:type="dxa"/>
            </w:tcMar>
            <w:tcW w:w="9356" w:type="dxa"/>
            <w:vAlign w:val="center"/>
            <w:textDirection w:val="lrTb"/>
            <w:noWrap w:val="false"/>
          </w:tcPr>
          <w:p>
            <w:pPr>
              <w:jc w:val="center"/>
              <w:spacing w:before="120" w:after="12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合计：人民币   元（¥       元）</w:t>
            </w:r>
            <w:r/>
          </w:p>
        </w:tc>
      </w:tr>
    </w:tbl>
    <w:p>
      <w:pPr>
        <w:pStyle w:val="83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法定代表人或者授权代表（签字或盖章）：                    </w:t>
      </w:r>
      <w:r/>
    </w:p>
    <w:p>
      <w:pPr>
        <w:pStyle w:val="83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投标供应商全称（盖章）：</w:t>
      </w:r>
      <w:r/>
    </w:p>
    <w:p>
      <w:pPr>
        <w:pStyle w:val="83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r/>
    </w:p>
    <w:p>
      <w:pP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法定代表人身份证明书</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南通港闸经济开发区管理委员会</w:t>
      </w:r>
      <w:r>
        <w:rPr>
          <w:rFonts w:hint="eastAsia" w:ascii="宋体" w:hAnsi="宋体" w:eastAsia="宋体" w:cs="宋体"/>
          <w:color w:val="auto"/>
          <w:sz w:val="24"/>
          <w:szCs w:val="24"/>
          <w:highlight w:val="none"/>
        </w:rPr>
        <w:t xml:space="preserve">：</w:t>
      </w:r>
      <w:r/>
    </w:p>
    <w:p>
      <w:pPr>
        <w:ind w:firstLine="566"/>
        <w:spacing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的法定代表人，现任我单位职务。</w:t>
      </w:r>
      <w:r/>
    </w:p>
    <w:p>
      <w:pPr>
        <w:ind w:firstLine="566"/>
        <w:spacing w:line="42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身份证号码：</w:t>
      </w:r>
      <w:r/>
    </w:p>
    <w:p>
      <w:pPr>
        <w:ind w:firstLine="566"/>
        <w:spacing w:line="42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联系电话：</w:t>
      </w:r>
      <w:r/>
    </w:p>
    <w:p>
      <w:pPr>
        <w:ind w:firstLine="566"/>
        <w:spacing w:line="4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566"/>
        <w:spacing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spacing w:line="4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46"/>
        <w:jc w:val="left"/>
        <w:spacing w:line="420" w:lineRule="exact"/>
        <w:widowControl/>
        <w:rPr>
          <w:rFonts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人有效期内的身份证正反面电子件。</w:t>
      </w:r>
      <w:r/>
    </w:p>
    <w:tbl>
      <w:tblPr>
        <w:tblStyle w:val="793"/>
        <w:tblW w:w="991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9"/>
        <w:gridCol w:w="4959"/>
      </w:tblGrid>
      <w:tr>
        <w:trPr>
          <w:trHeight w:val="3158"/>
        </w:trPr>
        <w:tc>
          <w:tcPr>
            <w:tcW w:w="4959" w:type="dxa"/>
            <w:textDirection w:val="lrTb"/>
            <w:noWrap/>
          </w:tcPr>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959" w:type="dxa"/>
            <w:textDirection w:val="lrTb"/>
            <w:noWrap/>
          </w:tcPr>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420"/>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20" w:firstLine="3840"/>
        <w:spacing w:line="420" w:lineRule="exact"/>
        <w:tabs>
          <w:tab w:val="left" w:pos="55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投标人（加盖CA电子签章）：___________</w:t>
      </w:r>
      <w:r/>
    </w:p>
    <w:p>
      <w:pPr>
        <w:ind w:firstLine="4320"/>
        <w:spacing w:line="420" w:lineRule="exact"/>
        <w:rPr>
          <w:rFonts w:ascii="宋体" w:hAnsi="宋体" w:eastAsia="宋体" w:cs="宋体"/>
          <w:color w:val="auto"/>
          <w:sz w:val="24"/>
          <w:szCs w:val="24"/>
          <w:highlight w:val="none"/>
        </w:rPr>
      </w:pPr>
      <w:r/>
      <w:bookmarkStart w:id="58" w:name="_Hlk185111807"/>
      <w:r>
        <w:rPr>
          <w:rFonts w:hint="eastAsia" w:ascii="宋体" w:hAnsi="宋体" w:eastAsia="宋体" w:cs="宋体"/>
          <w:color w:val="auto"/>
          <w:sz w:val="24"/>
          <w:szCs w:val="24"/>
          <w:highlight w:val="none"/>
        </w:rPr>
        <w:t xml:space="preserve">法定代表人签字或盖电子章：</w:t>
      </w:r>
      <w:bookmarkEnd w:id="58"/>
      <w:r/>
      <w:r/>
    </w:p>
    <w:p>
      <w:pPr>
        <w:ind w:firstLine="4320"/>
        <w:spacing w:line="420" w:lineRule="exact"/>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24"/>
        <w:spacing w:line="420" w:lineRule="exact"/>
        <w:rPr>
          <w:rFonts w:ascii="宋体" w:hAnsi="宋体" w:eastAsia="宋体" w:cs="宋体"/>
          <w:b/>
          <w:bCs/>
          <w:color w:val="auto"/>
          <w:sz w:val="24"/>
          <w:szCs w:val="24"/>
          <w:highlight w:val="none"/>
        </w:rPr>
        <w:outlineLvl w:val="3"/>
      </w:pPr>
      <w:r>
        <w:rPr>
          <w:rFonts w:ascii="宋体" w:hAnsi="宋体" w:eastAsia="宋体" w:cs="宋体"/>
          <w:b/>
          <w:bCs/>
          <w:color w:val="auto"/>
          <w:sz w:val="24"/>
          <w:szCs w:val="24"/>
          <w:highlight w:val="none"/>
        </w:rPr>
      </w:r>
      <w:r/>
    </w:p>
    <w:p>
      <w:pPr>
        <w:jc w:val="center"/>
        <w:spacing w:line="420" w:lineRule="exact"/>
        <w:rPr>
          <w:rFonts w:ascii="宋体" w:hAnsi="宋体" w:eastAsia="宋体" w:cs="宋体"/>
          <w:b/>
          <w:bCs/>
          <w:color w:val="auto"/>
          <w:sz w:val="28"/>
          <w:szCs w:val="28"/>
          <w:highlight w:val="none"/>
          <w:u w:val="single"/>
        </w:rPr>
      </w:pPr>
      <w:r>
        <w:rPr>
          <w:rFonts w:hint="eastAsia" w:ascii="宋体" w:hAnsi="宋体" w:eastAsia="宋体" w:cs="宋体"/>
          <w:b/>
          <w:bCs/>
          <w:color w:val="auto"/>
          <w:sz w:val="24"/>
          <w:szCs w:val="24"/>
          <w:highlight w:val="none"/>
          <w:u w:val="single"/>
        </w:rPr>
        <w:t xml:space="preserve">注：如为授权代表参与投标活动的，除提供“法定代表人授权书”，还须同时提供此“法定代表人身份证明书”。</w:t>
      </w:r>
      <w:r/>
    </w:p>
    <w:p>
      <w:pPr>
        <w:pStyle w:val="917"/>
        <w:rPr>
          <w:rFonts w:ascii="宋体" w:hAnsi="宋体" w:eastAsia="宋体" w:cs="宋体"/>
          <w:color w:val="auto"/>
          <w:highlight w:val="none"/>
        </w:rPr>
        <w:sectPr>
          <w:footnotePr/>
          <w:endnotePr/>
          <w:type w:val="nextPage"/>
          <w:pgSz w:w="11906" w:h="16838" w:orient="portrait"/>
          <w:pgMar w:top="851" w:right="851" w:bottom="851" w:left="1134" w:header="567" w:footer="454" w:gutter="0"/>
          <w:cols w:num="1" w:sep="0" w:space="1701" w:equalWidth="1"/>
          <w:docGrid w:linePitch="360"/>
        </w:sectPr>
      </w:pPr>
      <w:r>
        <w:rPr>
          <w:rFonts w:ascii="宋体" w:hAnsi="宋体" w:eastAsia="宋体" w:cs="宋体"/>
          <w:color w:val="auto"/>
          <w:highlight w:val="none"/>
        </w:rPr>
      </w:r>
      <w:r/>
    </w:p>
    <w:p>
      <w:pPr>
        <w:jc w:val="center"/>
        <w:spacing w:before="240" w:after="240" w:line="420" w:lineRule="exact"/>
        <w:rPr>
          <w:rFonts w:ascii="宋体" w:hAnsi="宋体" w:eastAsia="宋体" w:cs="宋体"/>
          <w:color w:val="auto"/>
          <w:highlight w:val="none"/>
        </w:rPr>
      </w:pPr>
      <w:r>
        <w:rPr>
          <w:rFonts w:hint="eastAsia" w:ascii="宋体" w:hAnsi="宋体" w:eastAsia="宋体" w:cs="宋体"/>
          <w:b/>
          <w:bCs/>
          <w:color w:val="auto"/>
          <w:sz w:val="28"/>
          <w:szCs w:val="28"/>
          <w:highlight w:val="none"/>
        </w:rPr>
        <w:t xml:space="preserve">法定代表人授权书</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南通港闸经济开发区管理委员会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（投标人名称）的法定代表人，现授权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（被授权人的姓名）为我方</w:t>
      </w:r>
      <w:bookmarkStart w:id="59" w:name="_Hlk185112499"/>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政府采购活动</w:t>
      </w:r>
      <w:bookmarkEnd w:id="59"/>
      <w:r>
        <w:rPr>
          <w:rFonts w:hint="eastAsia" w:ascii="宋体" w:hAnsi="宋体" w:eastAsia="宋体" w:cs="宋体"/>
          <w:color w:val="auto"/>
          <w:sz w:val="24"/>
          <w:szCs w:val="24"/>
          <w:highlight w:val="none"/>
        </w:rPr>
        <w:t xml:space="preserve">的合法代理人，处理与之有关的一切事务，包含在签署、澄清确认、递交、撤回、修改上述项目的投标文件，以及项目开启、评审、合同签订过程中所签署的一切文件等，我均予以承认。</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被授权人无转授权。</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u w:val="single"/>
        </w:rPr>
      </w:pPr>
      <w:r/>
      <w:bookmarkStart w:id="60" w:name="_Hlk183455934"/>
      <w:r>
        <w:rPr>
          <w:rFonts w:hint="eastAsia" w:ascii="宋体" w:hAnsi="宋体" w:eastAsia="宋体" w:cs="宋体"/>
          <w:color w:val="auto"/>
          <w:sz w:val="24"/>
          <w:szCs w:val="24"/>
          <w:highlight w:val="none"/>
        </w:rPr>
        <w:t xml:space="preserve">被授权人</w:t>
      </w:r>
      <w:bookmarkEnd w:id="60"/>
      <w:r>
        <w:rPr>
          <w:rFonts w:hint="eastAsia" w:ascii="宋体" w:hAnsi="宋体" w:eastAsia="宋体" w:cs="宋体"/>
          <w:color w:val="auto"/>
          <w:sz w:val="24"/>
          <w:szCs w:val="24"/>
          <w:highlight w:val="none"/>
        </w:rPr>
        <w:t xml:space="preserve">身份证号码：</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ind w:firstLine="480"/>
        <w:jc w:val="left"/>
        <w:spacing w:line="360" w:lineRule="auto"/>
        <w:widowControl/>
        <w:rPr>
          <w:rFonts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被授权人有效期内的身份证正反面电子件。</w:t>
      </w:r>
      <w:r/>
    </w:p>
    <w:tbl>
      <w:tblPr>
        <w:tblStyle w:val="793"/>
        <w:tblW w:w="991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9"/>
        <w:gridCol w:w="4959"/>
      </w:tblGrid>
      <w:tr>
        <w:trPr>
          <w:trHeight w:val="3158"/>
        </w:trPr>
        <w:tc>
          <w:tcPr>
            <w:tcW w:w="4959" w:type="dxa"/>
            <w:textDirection w:val="lrTb"/>
            <w:noWrap/>
          </w:tcPr>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4959" w:type="dxa"/>
            <w:textDirection w:val="lrTb"/>
            <w:noWrap/>
          </w:tcPr>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420"/>
        <w:spacing w:line="420" w:lineRule="exact"/>
        <w:tabs>
          <w:tab w:val="left" w:pos="558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20" w:firstLine="3840"/>
        <w:spacing w:line="420" w:lineRule="exact"/>
        <w:tabs>
          <w:tab w:val="left" w:pos="55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投标人（加盖CA电子签章）：___________</w:t>
      </w:r>
      <w:r/>
    </w:p>
    <w:p>
      <w:pPr>
        <w:ind w:firstLine="4320"/>
        <w:spacing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法定代表人签字或盖电子章：</w:t>
      </w:r>
      <w:r/>
    </w:p>
    <w:p>
      <w:pPr>
        <w:ind w:firstLine="4320"/>
        <w:spacing w:line="420" w:lineRule="exact"/>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26"/>
        <w:spacing w:line="420" w:lineRule="exact"/>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jc w:val="center"/>
        <w:spacing w:line="420" w:lineRule="exact"/>
        <w:rPr>
          <w:rFonts w:ascii="宋体" w:hAnsi="宋体" w:eastAsia="宋体" w:cs="宋体"/>
          <w:b/>
          <w:bCs/>
          <w:color w:val="auto"/>
          <w:sz w:val="28"/>
          <w:szCs w:val="28"/>
          <w:highlight w:val="none"/>
          <w:u w:val="single"/>
        </w:rPr>
      </w:pPr>
      <w:r>
        <w:rPr>
          <w:rFonts w:hint="eastAsia" w:ascii="宋体" w:hAnsi="宋体" w:eastAsia="宋体" w:cs="宋体"/>
          <w:b/>
          <w:bCs/>
          <w:color w:val="auto"/>
          <w:sz w:val="24"/>
          <w:szCs w:val="24"/>
          <w:highlight w:val="none"/>
          <w:u w:val="single"/>
        </w:rPr>
        <w:t xml:space="preserve">注：如为法定代表人参与投标活动的，无须提供“法定代表人授权书”。</w:t>
      </w:r>
      <w:r/>
    </w:p>
    <w:p>
      <w:pPr>
        <w:ind w:firstLine="424"/>
        <w:spacing w:line="420" w:lineRule="exact"/>
        <w:rPr>
          <w:rFonts w:ascii="宋体" w:hAnsi="宋体" w:eastAsia="宋体" w:cs="宋体"/>
          <w:b/>
          <w:bCs/>
          <w:color w:val="auto"/>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bookmarkStart w:id="61" w:name="_Hlk135223429"/>
      <w:r/>
      <w:r/>
    </w:p>
    <w:p>
      <w:pPr>
        <w:jc w:val="center"/>
        <w:spacing w:line="360" w:lineRule="auto"/>
        <w:rPr>
          <w:rFonts w:ascii="宋体" w:hAnsi="宋体" w:eastAsia="宋体" w:cs="宋体"/>
          <w:color w:val="auto"/>
          <w:sz w:val="24"/>
          <w:szCs w:val="21"/>
          <w:highlight w:val="none"/>
        </w:rPr>
        <w:outlineLvl w:val="2"/>
      </w:pPr>
      <w:r>
        <w:rPr>
          <w:rFonts w:hint="eastAsia" w:ascii="宋体" w:hAnsi="宋体" w:eastAsia="宋体" w:cs="宋体"/>
          <w:b/>
          <w:bCs/>
          <w:color w:val="auto"/>
          <w:sz w:val="24"/>
          <w:szCs w:val="21"/>
          <w:highlight w:val="none"/>
        </w:rPr>
        <w:t xml:space="preserve">诚信承诺书</w:t>
      </w:r>
      <w:r/>
    </w:p>
    <w:p>
      <w:pPr>
        <w:ind w:firstLine="420"/>
        <w:jc w:val="center"/>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jc w:val="left"/>
        <w:spacing w:line="360" w:lineRule="auto"/>
        <w:rPr>
          <w:rFonts w:ascii="宋体" w:hAnsi="宋体" w:eastAsia="宋体" w:cs="宋体"/>
          <w:color w:val="auto"/>
          <w:sz w:val="24"/>
          <w:szCs w:val="21"/>
          <w:highlight w:val="none"/>
          <w:u w:val="single"/>
        </w:rPr>
      </w:pPr>
      <w:r>
        <w:rPr>
          <w:rFonts w:hint="eastAsia" w:ascii="宋体" w:hAnsi="宋体" w:eastAsia="宋体" w:cs="宋体"/>
          <w:color w:val="auto"/>
          <w:sz w:val="24"/>
          <w:szCs w:val="24"/>
          <w:highlight w:val="none"/>
          <w:u w:val="single"/>
        </w:rPr>
        <w:t xml:space="preserve">南通港闸经济开发区管理委员会</w:t>
      </w:r>
      <w:r>
        <w:rPr>
          <w:rFonts w:hint="eastAsia" w:ascii="宋体" w:hAnsi="宋体" w:eastAsia="宋体" w:cs="宋体"/>
          <w:color w:val="auto"/>
          <w:sz w:val="24"/>
          <w:szCs w:val="21"/>
          <w:highlight w:val="none"/>
          <w:u w:val="singl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我单位在参加贵单位组织的</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的招投标活动中，郑重承诺如下：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1.我方申报的所有资料都是真实、准确、完整的；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2.我方无资质挂靠或参与串标、围标、抬标情形；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3.我方没有被各级行政主管部门做出停止市场行为的处罚；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4.若我方中标，将严格按照规定及时与招标单位签订合同；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5.若我方中标，将严格按照投标文件所承诺的报价、服务等内容组织实施；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6.我方未被“信用中国”网站列入失信被执行人、重大税收违法案件当事人名单，未被“中国政府采购网”列入政府采购严重失信行为记录名单；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firstLine="420"/>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20"/>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ab/>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highlight w:val="none"/>
        </w:rPr>
        <w:t xml:space="preserve">（加盖CA电子签章）</w:t>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ind w:firstLine="132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jc w:val="center"/>
        <w:spacing w:line="360" w:lineRule="auto"/>
        <w:rPr>
          <w:rFonts w:ascii="宋体" w:hAnsi="宋体" w:eastAsia="宋体" w:cs="宋体"/>
          <w:b/>
          <w:bCs/>
          <w:color w:val="auto"/>
          <w:sz w:val="24"/>
          <w:szCs w:val="21"/>
          <w:highlight w:val="none"/>
        </w:rPr>
        <w:outlineLvl w:val="2"/>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1"/>
          <w:highlight w:val="none"/>
        </w:rPr>
        <w:t xml:space="preserve">投标人符合《中华人民共和国政府采购法》第二十二条规定条件的声明函</w:t>
      </w:r>
      <w:r/>
    </w:p>
    <w:p>
      <w:pPr>
        <w:spacing w:line="360" w:lineRule="auto"/>
        <w:rPr>
          <w:rFonts w:ascii="宋体" w:hAnsi="宋体" w:eastAsia="宋体" w:cs="宋体"/>
          <w:color w:val="auto"/>
          <w:sz w:val="24"/>
          <w:szCs w:val="21"/>
          <w:highlight w:val="none"/>
          <w:u w:val="single"/>
        </w:rPr>
      </w:pPr>
      <w:r>
        <w:rPr>
          <w:rFonts w:ascii="宋体" w:hAnsi="宋体" w:eastAsia="宋体" w:cs="宋体"/>
          <w:color w:val="auto"/>
          <w:sz w:val="24"/>
          <w:szCs w:val="21"/>
          <w:highlight w:val="none"/>
          <w:u w:val="single"/>
        </w:rPr>
      </w:r>
      <w:r/>
    </w:p>
    <w:p>
      <w:pPr>
        <w:spacing w:line="360" w:lineRule="auto"/>
        <w:rPr>
          <w:rFonts w:ascii="宋体" w:hAnsi="宋体" w:eastAsia="宋体" w:cs="宋体"/>
          <w:bCs/>
          <w:color w:val="auto"/>
          <w:sz w:val="24"/>
          <w:szCs w:val="21"/>
          <w:highlight w:val="none"/>
        </w:rPr>
      </w:pPr>
      <w:r>
        <w:rPr>
          <w:rFonts w:hint="eastAsia" w:ascii="宋体" w:hAnsi="宋体" w:eastAsia="宋体" w:cs="宋体"/>
          <w:color w:val="auto"/>
          <w:sz w:val="24"/>
          <w:szCs w:val="24"/>
          <w:highlight w:val="none"/>
          <w:u w:val="single"/>
        </w:rPr>
        <w:t xml:space="preserve">南通港闸经济开发区管理委员会</w:t>
      </w:r>
      <w:r>
        <w:rPr>
          <w:rFonts w:hint="eastAsia" w:ascii="宋体" w:hAnsi="宋体" w:eastAsia="宋体" w:cs="宋体"/>
          <w:bCs/>
          <w:color w:val="auto"/>
          <w:sz w:val="24"/>
          <w:szCs w:val="21"/>
          <w:highlight w:val="none"/>
        </w:rPr>
        <w:t xml:space="preserve">：</w:t>
      </w:r>
      <w:r/>
    </w:p>
    <w:p>
      <w:pPr>
        <w:ind w:firstLine="480"/>
        <w:spacing w:line="360" w:lineRule="auto"/>
        <w:rPr>
          <w:rFonts w:ascii="宋体" w:hAnsi="宋体" w:eastAsia="宋体" w:cs="宋体"/>
          <w:b/>
          <w:bCs/>
          <w:color w:val="auto"/>
          <w:sz w:val="24"/>
          <w:szCs w:val="21"/>
          <w:highlight w:val="none"/>
        </w:rPr>
      </w:pPr>
      <w:r>
        <w:rPr>
          <w:rFonts w:hint="eastAsia" w:ascii="宋体" w:hAnsi="宋体" w:eastAsia="宋体" w:cs="宋体"/>
          <w:bCs/>
          <w:color w:val="auto"/>
          <w:sz w:val="24"/>
          <w:szCs w:val="21"/>
          <w:highlight w:val="none"/>
        </w:rPr>
        <w:t xml:space="preserve">我单位参加</w:t>
      </w:r>
      <w:r>
        <w:rPr>
          <w:rFonts w:hint="eastAsia" w:ascii="宋体" w:hAnsi="宋体" w:eastAsia="宋体" w:cs="宋体"/>
          <w:bCs/>
          <w:color w:val="auto"/>
          <w:sz w:val="24"/>
          <w:szCs w:val="21"/>
          <w:highlight w:val="none"/>
          <w:u w:val="single"/>
        </w:rPr>
        <w:t xml:space="preserve">________________ _</w:t>
      </w:r>
      <w:r>
        <w:rPr>
          <w:rFonts w:hint="eastAsia" w:ascii="宋体" w:hAnsi="宋体" w:eastAsia="宋体" w:cs="宋体"/>
          <w:bCs/>
          <w:color w:val="auto"/>
          <w:sz w:val="24"/>
          <w:szCs w:val="21"/>
          <w:highlight w:val="none"/>
        </w:rPr>
        <w:t xml:space="preserve">（项目名称），</w:t>
      </w:r>
      <w:r>
        <w:rPr>
          <w:rFonts w:hint="eastAsia" w:ascii="宋体" w:hAnsi="宋体" w:eastAsia="宋体" w:cs="宋体"/>
          <w:bCs/>
          <w:color w:val="auto"/>
          <w:sz w:val="24"/>
          <w:szCs w:val="21"/>
          <w:highlight w:val="none"/>
          <w:u w:val="single"/>
        </w:rPr>
        <w:t xml:space="preserve">_______ __________</w:t>
      </w:r>
      <w:r>
        <w:rPr>
          <w:rFonts w:hint="eastAsia" w:ascii="宋体" w:hAnsi="宋体" w:eastAsia="宋体" w:cs="宋体"/>
          <w:bCs/>
          <w:color w:val="auto"/>
          <w:sz w:val="24"/>
          <w:szCs w:val="21"/>
          <w:highlight w:val="none"/>
        </w:rPr>
        <w:t xml:space="preserve">（项目编号）投标活动。针对《中华人民共和国政府采购法》第二十二条规定做出如下声明：</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2.我单位具有良好的商业信誉和健全的财务会计制度；</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3.我单位具有履行合同所必需的设备和专业技术能力；</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4.我单位有依法缴纳税收和社会保障资金的良好记录；</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6.我单位满足法律、行政法规规定的其他条件。</w:t>
      </w:r>
      <w:r/>
    </w:p>
    <w:p>
      <w:pPr>
        <w:pStyle w:val="946"/>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highlight w:val="none"/>
        </w:rPr>
        <w:t xml:space="preserve">（加盖CA电子签章）</w:t>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ind w:firstLine="132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ind w:firstLine="132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5"/>
        <w:jc w:val="left"/>
        <w:spacing w:line="420" w:lineRule="exact"/>
        <w:rPr>
          <w:rFonts w:ascii="宋体" w:hAnsi="宋体" w:eastAsia="宋体" w:cs="宋体"/>
          <w:color w:val="auto"/>
          <w:highlight w:val="none"/>
        </w:rPr>
      </w:pPr>
      <w:r>
        <w:rPr>
          <w:rFonts w:ascii="宋体" w:hAnsi="宋体" w:eastAsia="宋体" w:cs="宋体"/>
          <w:color w:val="auto"/>
          <w:highlight w:val="none"/>
        </w:rPr>
      </w:r>
      <w:bookmarkEnd w:id="61"/>
      <w:r/>
      <w:r/>
    </w:p>
    <w:p>
      <w:pPr>
        <w:ind w:firstLine="424"/>
        <w:spacing w:line="420" w:lineRule="exact"/>
        <w:rPr>
          <w:rFonts w:ascii="宋体" w:hAnsi="宋体" w:eastAsia="宋体" w:cs="宋体"/>
          <w:b/>
          <w:bCs/>
          <w:color w:val="auto"/>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ascii="宋体" w:hAnsi="宋体" w:eastAsia="宋体" w:cs="宋体"/>
          <w:b/>
          <w:bCs/>
          <w:color w:val="auto"/>
          <w:highlight w:val="none"/>
        </w:rPr>
      </w:r>
      <w:r/>
    </w:p>
    <w:p>
      <w:pPr>
        <w:jc w:val="center"/>
        <w:spacing w:before="240" w:after="240" w:line="420" w:lineRule="exact"/>
        <w:rPr>
          <w:rFonts w:ascii="宋体" w:hAnsi="宋体" w:eastAsia="宋体" w:cs="宋体"/>
          <w:b/>
          <w:bCs/>
          <w:color w:val="auto"/>
          <w:sz w:val="28"/>
          <w:szCs w:val="28"/>
          <w:highlight w:val="none"/>
        </w:rPr>
      </w:pPr>
      <w:r/>
      <w:bookmarkStart w:id="62" w:name="_Hlk69861907"/>
      <w:r/>
      <w:bookmarkEnd w:id="62"/>
      <w:r/>
      <w:bookmarkStart w:id="63" w:name="_Hlk183451010"/>
      <w:r/>
      <w:bookmarkStart w:id="64" w:name="_Hlk183444939"/>
      <w:r>
        <w:rPr>
          <w:rFonts w:hint="eastAsia" w:ascii="宋体" w:hAnsi="宋体" w:eastAsia="宋体" w:cs="宋体"/>
          <w:b/>
          <w:bCs/>
          <w:color w:val="auto"/>
          <w:sz w:val="28"/>
          <w:szCs w:val="28"/>
          <w:highlight w:val="none"/>
        </w:rPr>
        <w:t xml:space="preserve">投标响应函</w:t>
      </w:r>
      <w:r/>
    </w:p>
    <w:p>
      <w:pPr>
        <w:spacing w:after="240"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致：南通港闸经济开发区管理委员会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的政府采购活动的招标文件，正式授权______（被授权人姓名）代表我方______________（投标人的名称），全权处理本次项目投标的有关事宜。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据此函，__________（被授权人签字）兹宣布同意如下：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1.按照招标文件规定的各项要求，向买方提供所需服务（包含与服务相关的货物）。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4.同意规定的从提交投标文件截止之日起计的六十（60）天期满之前，我们提交的投标文件均保持有效。开启日期起，本项目招标文件的各项要求，对我们均具有约束力。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5.同意向贵方提供贵方可能另外要求的与招标有关的任何证据或资料，并保证我方已提供和将要提供的文件是真实的、准确的。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6.一旦我方中标，我方将根据招标文件的规定，严格履行合同的责任和义务，并保证在招标文件规定的时间内，为买方提供服务。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7.与本次采购活动有关的正式通讯地址为：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spacing w:line="360" w:lineRule="auto"/>
        <w:rPr>
          <w:rFonts w:ascii="宋体" w:hAnsi="宋体" w:eastAsia="宋体" w:cs="宋体"/>
          <w:color w:val="auto"/>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pPr>
      <w:r>
        <w:rPr>
          <w:rFonts w:hint="eastAsia" w:ascii="宋体" w:hAnsi="宋体" w:eastAsia="宋体" w:cs="宋体"/>
          <w:color w:val="auto"/>
          <w:sz w:val="24"/>
          <w:szCs w:val="24"/>
          <w:highlight w:val="none"/>
        </w:rPr>
        <w:t xml:space="preserve">日期：________年____月____日</w:t>
      </w:r>
      <w:bookmarkEnd w:id="56"/>
      <w:r/>
      <w:bookmarkEnd w:id="63"/>
      <w:r/>
      <w:bookmarkEnd w:id="64"/>
      <w:r/>
      <w:r/>
    </w:p>
    <w:p>
      <w:pPr>
        <w:jc w:val="center"/>
        <w:spacing w:line="360" w:lineRule="auto"/>
        <w:rPr>
          <w:rFonts w:ascii="宋体" w:hAnsi="宋体" w:eastAsia="宋体" w:cs="宋体"/>
          <w:b/>
          <w:bCs/>
          <w:color w:val="auto"/>
          <w:szCs w:val="21"/>
          <w:highlight w:val="none"/>
        </w:rPr>
        <w:outlineLvl w:val="2"/>
      </w:pPr>
      <w:r>
        <w:rPr>
          <w:rFonts w:hint="eastAsia" w:ascii="宋体" w:hAnsi="宋体" w:eastAsia="宋体" w:cs="宋体"/>
          <w:b/>
          <w:bCs/>
          <w:color w:val="auto"/>
          <w:szCs w:val="24"/>
          <w:highlight w:val="none"/>
        </w:rPr>
        <w:t xml:space="preserve">投标人一般情况表</w:t>
      </w:r>
      <w:r/>
    </w:p>
    <w:tbl>
      <w:tblPr>
        <w:tblStyle w:val="79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公司具备的相关资质等级及相应的证书号</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（请附有关证书的扫描件）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w:t>
            </w:r>
            <w:r>
              <w:rPr>
                <w:rFonts w:hint="eastAsia" w:ascii="宋体" w:hAnsi="宋体" w:eastAsia="宋体" w:cs="宋体"/>
                <w:color w:val="auto"/>
                <w:sz w:val="24"/>
                <w:szCs w:val="24"/>
                <w:highlight w:val="none"/>
                <w:u w:val="single"/>
              </w:rPr>
              <w:t xml:space="preserve">          （是否通过，何种）</w:t>
            </w:r>
            <w:r>
              <w:rPr>
                <w:rFonts w:hint="eastAsia" w:ascii="宋体" w:hAnsi="宋体" w:eastAsia="宋体" w:cs="宋体"/>
                <w:color w:val="auto"/>
                <w:sz w:val="24"/>
                <w:szCs w:val="24"/>
                <w:highlight w:val="none"/>
              </w:rPr>
              <w:t xml:space="preserve">质量保证体系认证（如通过请附相关在有效期内的证书扫描件）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Borders>
              <w:top w:val="single" w:color="000000" w:sz="4" w:space="0"/>
              <w:left w:val="none" w:color="000000" w:sz="4" w:space="0"/>
              <w:bottom w:val="single" w:color="000000" w:sz="4" w:space="0"/>
              <w:right w:val="single" w:color="000000" w:sz="4" w:space="0"/>
            </w:tcBorders>
            <w:tcW w:w="1320"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tcPr>
          <w:p>
            <w:pP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tcPr>
          <w:p>
            <w:pP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营业执照载明：</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highlight w:val="none"/>
        </w:rPr>
        <w:t xml:space="preserve">（加盖CA电子签章）</w:t>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ind w:firstLine="132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ind w:firstLine="132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rPr>
          <w:rFonts w:ascii="宋体" w:hAnsi="宋体" w:eastAsia="宋体" w:cs="宋体"/>
          <w:b/>
          <w:bCs/>
          <w:color w:val="auto"/>
          <w:szCs w:val="24"/>
          <w:highlight w:val="none"/>
        </w:rPr>
        <w:outlineLvl w:val="2"/>
      </w:pPr>
      <w:r>
        <w:rPr>
          <w:rFonts w:hint="eastAsia" w:ascii="宋体" w:hAnsi="宋体" w:eastAsia="宋体" w:cs="宋体"/>
          <w:b/>
          <w:bCs/>
          <w:color w:val="auto"/>
          <w:szCs w:val="24"/>
          <w:highlight w:val="none"/>
        </w:rPr>
        <w:t xml:space="preserve">现场勘察函</w:t>
      </w:r>
      <w:r/>
    </w:p>
    <w:p>
      <w:pPr>
        <w:spacing w:after="240" w:line="4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致：南通港闸经济开发区管理委员会</w:t>
      </w:r>
      <w:r/>
    </w:p>
    <w:p>
      <w:pPr>
        <w:pStyle w:val="1214"/>
        <w:contextualSpacing/>
        <w:ind w:firstLine="480"/>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依据贵单位</w:t>
      </w:r>
      <w:r>
        <w:rPr>
          <w:rFonts w:hint="eastAsia" w:ascii="宋体" w:eastAsia="宋体" w:cs="宋体"/>
          <w:color w:val="auto"/>
          <w:sz w:val="24"/>
          <w:szCs w:val="24"/>
          <w:highlight w:val="none"/>
          <w:u w:val="single"/>
        </w:rPr>
        <w:t xml:space="preserve">       （项目名称）               </w:t>
      </w:r>
      <w:r>
        <w:rPr>
          <w:rFonts w:hint="eastAsia" w:ascii="宋体" w:eastAsia="宋体" w:cs="宋体"/>
          <w:color w:val="auto"/>
          <w:sz w:val="24"/>
          <w:szCs w:val="24"/>
          <w:highlight w:val="none"/>
        </w:rPr>
        <w:t xml:space="preserve">项目招标文件的要求。我方已对该项目进行了现场勘察，现就现场勘察情况作如下承诺：</w:t>
      </w:r>
      <w:r/>
    </w:p>
    <w:p>
      <w:pPr>
        <w:pStyle w:val="1214"/>
        <w:contextualSpacing/>
        <w:ind w:firstLine="480"/>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1.经现场勘察，我方已熟悉与该项目相关的所有情况。</w:t>
      </w:r>
      <w:r/>
    </w:p>
    <w:p>
      <w:pPr>
        <w:pStyle w:val="1214"/>
        <w:contextualSpacing/>
        <w:ind w:firstLine="480"/>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2.我方承诺自行承担本次现场勘察所发生的所有费用并承担勘察现场的相关责任和风险。</w:t>
      </w:r>
      <w:r/>
    </w:p>
    <w:p>
      <w:pPr>
        <w:pStyle w:val="1214"/>
        <w:contextualSpacing/>
        <w:ind w:firstLine="480"/>
        <w:spacing w:line="360" w:lineRule="auto"/>
        <w:rPr>
          <w:rFonts w:ascii="宋体" w:eastAsia="宋体" w:cs="宋体"/>
          <w:color w:val="auto"/>
          <w:sz w:val="24"/>
          <w:szCs w:val="24"/>
          <w:highlight w:val="none"/>
        </w:rPr>
      </w:pPr>
      <w:r>
        <w:rPr>
          <w:rFonts w:hint="eastAsia" w:ascii="宋体" w:eastAsia="宋体" w:cs="宋体"/>
          <w:color w:val="auto"/>
          <w:sz w:val="24"/>
          <w:szCs w:val="24"/>
          <w:highlight w:val="none"/>
        </w:rPr>
        <w:t xml:space="preserve">3.我方承诺在任何情况下均不以不完全了解现场情况为理由而向采购单位提出任何索赔的要求。</w:t>
      </w:r>
      <w:r/>
    </w:p>
    <w:p>
      <w:pPr>
        <w:pStyle w:val="1214"/>
        <w:contextualSpacing/>
        <w:ind w:firstLine="480"/>
        <w:spacing w:line="360" w:lineRule="auto"/>
        <w:rPr>
          <w:rFonts w:ascii="宋体" w:eastAsia="宋体" w:cs="宋体"/>
          <w:color w:val="auto"/>
          <w:sz w:val="24"/>
          <w:szCs w:val="24"/>
          <w:highlight w:val="none"/>
        </w:rPr>
      </w:pPr>
      <w:r>
        <w:rPr>
          <w:rFonts w:ascii="宋体" w:eastAsia="宋体" w:cs="宋体"/>
          <w:color w:val="auto"/>
          <w:sz w:val="24"/>
          <w:szCs w:val="24"/>
          <w:highlight w:val="none"/>
        </w:rPr>
      </w:r>
      <w:r/>
    </w:p>
    <w:p>
      <w:pPr>
        <w:jc w:val="right"/>
        <w:spacing w:line="52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right"/>
        <w:spacing w:line="52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2400"/>
        <w:jc w:val="right"/>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jc w:val="right"/>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ind w:left="6010" w:hanging="2760"/>
        <w:jc w:val="left"/>
        <w:spacing w:line="48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1032"/>
        <w:ind w:firstLine="420"/>
        <w:rPr>
          <w:color w:val="auto"/>
          <w:highlight w:val="none"/>
        </w:rPr>
      </w:pPr>
      <w:r>
        <w:rPr>
          <w:color w:val="auto"/>
          <w:highlight w:val="none"/>
        </w:rPr>
      </w:r>
      <w:r/>
    </w:p>
    <w:p>
      <w:pPr>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1"/>
          <w:highlight w:val="none"/>
        </w:rPr>
        <w:br w:type="page" w:clear="all"/>
      </w:r>
      <w:r/>
    </w:p>
    <w:p>
      <w:pPr>
        <w:jc w:val="center"/>
        <w:spacing w:line="360" w:lineRule="auto"/>
        <w:rPr>
          <w:rFonts w:ascii="宋体" w:hAnsi="宋体" w:eastAsia="宋体" w:cs="宋体"/>
          <w:b/>
          <w:color w:val="auto"/>
          <w:sz w:val="32"/>
          <w:szCs w:val="32"/>
          <w:highlight w:val="none"/>
        </w:rPr>
        <w:outlineLvl w:val="2"/>
      </w:pPr>
      <w:r>
        <w:rPr>
          <w:rFonts w:hint="eastAsia" w:ascii="宋体" w:hAnsi="宋体" w:eastAsia="宋体" w:cs="宋体"/>
          <w:b/>
          <w:bCs/>
          <w:color w:val="auto"/>
          <w:szCs w:val="24"/>
          <w:highlight w:val="none"/>
        </w:rPr>
        <w:t xml:space="preserve">商务部分正负偏离表</w:t>
      </w:r>
      <w:r/>
    </w:p>
    <w:p>
      <w:pPr>
        <w:ind w:firstLine="560"/>
        <w:jc w:val="center"/>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（由投标人据实填写，表格不够自行添加）</w:t>
      </w:r>
      <w:r/>
    </w:p>
    <w:tbl>
      <w:tblPr>
        <w:tblStyle w:val="793"/>
        <w:tblW w:w="5000" w:type="pct"/>
        <w:tblInd w:w="-3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32"/>
        <w:gridCol w:w="2542"/>
        <w:gridCol w:w="2220"/>
        <w:gridCol w:w="2865"/>
        <w:gridCol w:w="1578"/>
      </w:tblGrid>
      <w:tr>
        <w:trPr>
          <w:trHeight w:val="994"/>
        </w:trPr>
        <w:tc>
          <w:tcPr>
            <w:tcW w:w="854" w:type="dxa"/>
            <w:vAlign w:val="center"/>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序号</w:t>
            </w:r>
            <w:r/>
          </w:p>
        </w:tc>
        <w:tc>
          <w:tcPr>
            <w:tcW w:w="2329" w:type="dxa"/>
            <w:vAlign w:val="center"/>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货物或服务名称</w:t>
            </w:r>
            <w:r/>
          </w:p>
        </w:tc>
        <w:tc>
          <w:tcPr>
            <w:tcW w:w="2034" w:type="dxa"/>
            <w:vAlign w:val="center"/>
            <w:textDirection w:val="lrTb"/>
            <w:noWrap/>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招标文件要求的商务条款</w:t>
            </w:r>
            <w:r/>
          </w:p>
        </w:tc>
        <w:tc>
          <w:tcPr>
            <w:tcW w:w="2624" w:type="dxa"/>
            <w:vAlign w:val="center"/>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投标文件响应情况</w:t>
            </w:r>
            <w:r/>
          </w:p>
        </w:tc>
        <w:tc>
          <w:tcPr>
            <w:tcW w:w="1445" w:type="dxa"/>
            <w:textDirection w:val="lrTb"/>
            <w:noWrap/>
          </w:tcPr>
          <w:p>
            <w:pPr>
              <w:jc w:val="center"/>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偏离说明</w:t>
            </w:r>
            <w:r/>
          </w:p>
        </w:tc>
      </w:tr>
      <w:tr>
        <w:trPr>
          <w:trHeight w:val="414"/>
        </w:trPr>
        <w:tc>
          <w:tcPr>
            <w:tcW w:w="854" w:type="dxa"/>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2329"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03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62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1445" w:type="dxa"/>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r>
      <w:tr>
        <w:trPr>
          <w:trHeight w:val="548"/>
        </w:trPr>
        <w:tc>
          <w:tcPr>
            <w:tcW w:w="854" w:type="dxa"/>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2329"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03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62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1445" w:type="dxa"/>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r>
      <w:tr>
        <w:trPr>
          <w:trHeight w:val="400"/>
        </w:trPr>
        <w:tc>
          <w:tcPr>
            <w:tcW w:w="854" w:type="dxa"/>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3</w:t>
            </w:r>
            <w:r/>
          </w:p>
        </w:tc>
        <w:tc>
          <w:tcPr>
            <w:tcW w:w="2329"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03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62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1445" w:type="dxa"/>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r>
      <w:tr>
        <w:trPr>
          <w:trHeight w:val="419"/>
        </w:trPr>
        <w:tc>
          <w:tcPr>
            <w:tcW w:w="854" w:type="dxa"/>
            <w:textDirection w:val="lrTb"/>
            <w:noWrap/>
          </w:tcPr>
          <w:p>
            <w:pPr>
              <w:jc w:val="center"/>
              <w:spacing w:line="360" w:lineRule="auto"/>
              <w:rPr>
                <w:rFonts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4</w:t>
            </w:r>
            <w:r/>
          </w:p>
        </w:tc>
        <w:tc>
          <w:tcPr>
            <w:tcW w:w="2329"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03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2624" w:type="dxa"/>
            <w:vAlign w:val="center"/>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c>
          <w:tcPr>
            <w:tcW w:w="1445" w:type="dxa"/>
            <w:textDirection w:val="lrTb"/>
            <w:noWrap/>
          </w:tcPr>
          <w:p>
            <w:pPr>
              <w:jc w:val="left"/>
              <w:spacing w:line="360" w:lineRule="auto"/>
              <w:rPr>
                <w:rFonts w:ascii="宋体" w:hAnsi="宋体" w:eastAsia="宋体" w:cs="宋体"/>
                <w:color w:val="auto"/>
                <w:sz w:val="24"/>
                <w:highlight w:val="none"/>
                <w:lang w:eastAsia="en-US"/>
              </w:rPr>
            </w:pPr>
            <w:r>
              <w:rPr>
                <w:rFonts w:ascii="宋体" w:hAnsi="宋体" w:eastAsia="宋体" w:cs="宋体"/>
                <w:color w:val="auto"/>
                <w:sz w:val="24"/>
                <w:highlight w:val="none"/>
                <w:lang w:eastAsia="en-US"/>
              </w:rPr>
            </w:r>
            <w:r/>
          </w:p>
        </w:tc>
      </w:tr>
    </w:tbl>
    <w:p>
      <w:pPr>
        <w:contextualSpacing/>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1.投标人提交的投标文件中与招标文件第三章“项目需求”中的商务部分的要求，应逐条填列在偏离表中。</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2.“偏离说明”一栏选择“正偏离”“负偏离”“无偏离”进行填写。正偏离、负偏离、无偏离的确认，由评审小组认定。</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3.本项目商务条款不接受负偏离，有负偏离的按无效标处理。投标人若提供其他增值服务，可以在表中自行据实填写。</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4.若完全响应本项目需求且无偏离，投标时本表仅第一行写明“完全响应”并加盖CA章提供。</w:t>
      </w:r>
      <w:r/>
    </w:p>
    <w:p>
      <w:pPr>
        <w:jc w:val="center"/>
        <w:spacing w:line="360" w:lineRule="auto"/>
        <w:rPr>
          <w:rFonts w:ascii="宋体" w:hAnsi="宋体" w:eastAsia="宋体" w:cs="宋体"/>
          <w:color w:val="auto"/>
          <w:sz w:val="24"/>
          <w:highlight w:val="none"/>
        </w:rPr>
        <w:outlineLvl w:val="2"/>
      </w:pPr>
      <w:r>
        <w:rPr>
          <w:rFonts w:hint="eastAsia" w:ascii="宋体" w:hAnsi="宋体" w:eastAsia="宋体" w:cs="宋体"/>
          <w:b/>
          <w:bCs/>
          <w:color w:val="auto"/>
          <w:sz w:val="24"/>
          <w:szCs w:val="21"/>
          <w:highlight w:val="none"/>
        </w:rPr>
        <w:br w:type="page" w:clear="all"/>
      </w:r>
      <w:r>
        <w:rPr>
          <w:rFonts w:hint="eastAsia" w:ascii="宋体" w:hAnsi="宋体" w:eastAsia="宋体" w:cs="宋体"/>
          <w:b/>
          <w:bCs/>
          <w:color w:val="auto"/>
          <w:sz w:val="24"/>
          <w:szCs w:val="24"/>
          <w:highlight w:val="none"/>
        </w:rPr>
        <w:t xml:space="preserve">技术部分正负偏离表</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（由投标人据实填写，表格不够自行添加）</w:t>
      </w:r>
      <w:r/>
    </w:p>
    <w:tbl>
      <w:tblPr>
        <w:tblStyle w:val="793"/>
        <w:tblW w:w="5000" w:type="pct"/>
        <w:tblInd w:w="-3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30"/>
        <w:gridCol w:w="2545"/>
        <w:gridCol w:w="2220"/>
        <w:gridCol w:w="2864"/>
        <w:gridCol w:w="1578"/>
      </w:tblGrid>
      <w:tr>
        <w:trPr>
          <w:trHeight w:val="994"/>
        </w:trPr>
        <w:tc>
          <w:tcPr>
            <w:tcW w:w="852"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W w:w="2331"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货物或服务名称</w:t>
            </w:r>
            <w:r/>
          </w:p>
        </w:tc>
        <w:tc>
          <w:tcPr>
            <w:tcW w:w="2034"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招标文件要求的技术要求</w:t>
            </w:r>
            <w:r/>
          </w:p>
        </w:tc>
        <w:tc>
          <w:tcPr>
            <w:tcW w:w="262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投标文件响应情况</w:t>
            </w:r>
            <w:r/>
          </w:p>
        </w:tc>
        <w:tc>
          <w:tcPr>
            <w:tcW w:w="1445"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偏离说明</w:t>
            </w:r>
            <w:r/>
          </w:p>
        </w:tc>
      </w:tr>
      <w:tr>
        <w:trPr>
          <w:trHeight w:val="414"/>
        </w:trPr>
        <w:tc>
          <w:tcPr>
            <w:tcW w:w="852"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p>
        </w:tc>
        <w:tc>
          <w:tcPr>
            <w:tcW w:w="2331"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03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62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1445"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trHeight w:val="548"/>
        </w:trPr>
        <w:tc>
          <w:tcPr>
            <w:tcW w:w="852"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w:t>
            </w:r>
            <w:r/>
          </w:p>
        </w:tc>
        <w:tc>
          <w:tcPr>
            <w:tcW w:w="2331"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03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62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1445"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trHeight w:val="400"/>
        </w:trPr>
        <w:tc>
          <w:tcPr>
            <w:tcW w:w="852"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w:t>
            </w:r>
            <w:r/>
          </w:p>
        </w:tc>
        <w:tc>
          <w:tcPr>
            <w:tcW w:w="2331"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03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62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1445"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r>
        <w:trPr>
          <w:trHeight w:val="419"/>
        </w:trPr>
        <w:tc>
          <w:tcPr>
            <w:tcW w:w="852" w:type="dxa"/>
            <w:textDirection w:val="lrTb"/>
            <w:noWrap/>
          </w:tcPr>
          <w:p>
            <w:pPr>
              <w:jc w:val="center"/>
              <w:spacing w:line="360" w:lineRule="auto"/>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w:t>
            </w:r>
            <w:r/>
          </w:p>
        </w:tc>
        <w:tc>
          <w:tcPr>
            <w:tcW w:w="2331"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03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2624" w:type="dxa"/>
            <w:vAlign w:val="center"/>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c>
          <w:tcPr>
            <w:tcW w:w="1445" w:type="dxa"/>
            <w:textDirection w:val="lrTb"/>
            <w:noWrap/>
          </w:tcPr>
          <w:p>
            <w:pPr>
              <w:jc w:val="center"/>
              <w:spacing w:line="360" w:lineRule="auto"/>
              <w:rPr>
                <w:rFonts w:ascii="宋体" w:hAnsi="宋体" w:eastAsia="宋体" w:cs="宋体"/>
                <w:color w:val="auto"/>
                <w:sz w:val="24"/>
                <w:szCs w:val="24"/>
                <w:highlight w:val="none"/>
                <w:lang w:eastAsia="en-US"/>
              </w:rPr>
            </w:pPr>
            <w:r>
              <w:rPr>
                <w:rFonts w:ascii="宋体" w:hAnsi="宋体" w:eastAsia="宋体" w:cs="宋体"/>
                <w:color w:val="auto"/>
                <w:sz w:val="24"/>
                <w:szCs w:val="24"/>
                <w:highlight w:val="none"/>
                <w:lang w:eastAsia="en-US"/>
              </w:rPr>
            </w:r>
            <w:r/>
          </w:p>
        </w:tc>
      </w:tr>
    </w:tbl>
    <w:p>
      <w:pPr>
        <w:contextualSpacing/>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1.投标人提交的投标文件中与招标文件第三章“项目需求”中的技术部分的要求，应逐条填列在偏离表中。</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2.“偏离说明”一栏选择“正偏离”“负偏离”“无偏离”进行填写。正偏离、负偏离、无偏离的确认，由评审小组认定。</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3.投标人若提供其他增值服务，可以在表中自行据实填写。</w:t>
      </w:r>
      <w:r/>
    </w:p>
    <w:p>
      <w:pPr>
        <w:contextualSpacing/>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4.若完全响应本项目需求且无偏离，投标时本表仅第一行写明“完全响应”并加盖CA章提供。</w:t>
      </w:r>
      <w:r/>
    </w:p>
    <w:p>
      <w:pPr>
        <w:spacing w:line="360" w:lineRule="auto"/>
        <w:rPr>
          <w:rFonts w:ascii="宋体" w:hAnsi="宋体" w:eastAsia="宋体" w:cs="宋体"/>
          <w:b/>
          <w:bCs/>
          <w:color w:val="auto"/>
          <w:sz w:val="24"/>
          <w:szCs w:val="21"/>
          <w:highlight w:val="none"/>
        </w:rPr>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ind w:firstLine="2530"/>
        <w:spacing w:line="360" w:lineRule="auto"/>
        <w:rPr>
          <w:rFonts w:ascii="宋体" w:hAnsi="宋体" w:eastAsia="宋体" w:cs="宋体"/>
          <w:b/>
          <w:bCs/>
          <w:color w:val="auto"/>
          <w:sz w:val="30"/>
          <w:highlight w:val="none"/>
        </w:rPr>
      </w:pPr>
      <w:r>
        <w:rPr>
          <w:rFonts w:hint="eastAsia" w:ascii="宋体" w:hAnsi="宋体" w:eastAsia="宋体" w:cs="宋体"/>
          <w:b/>
          <w:bCs/>
          <w:color w:val="auto"/>
          <w:sz w:val="28"/>
          <w:szCs w:val="28"/>
          <w:highlight w:val="none"/>
        </w:rPr>
        <w:br w:type="page" w:clear="all"/>
      </w:r>
      <w:r>
        <w:rPr>
          <w:rFonts w:hint="eastAsia" w:ascii="宋体" w:hAnsi="宋体" w:eastAsia="宋体" w:cs="宋体"/>
          <w:b/>
          <w:bCs/>
          <w:color w:val="auto"/>
          <w:sz w:val="28"/>
          <w:szCs w:val="28"/>
          <w:highlight w:val="none"/>
        </w:rPr>
        <w:t xml:space="preserve">         拟投入本项目人员明细表</w:t>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p>
      <w:pPr>
        <w:pStyle w:val="819"/>
        <w:ind w:firstLine="0"/>
        <w:rPr>
          <w:rFonts w:eastAsia="宋体"/>
          <w:color w:val="auto"/>
          <w:highlight w:val="none"/>
        </w:rPr>
      </w:pPr>
      <w:r>
        <w:rPr>
          <w:rFonts w:hint="eastAsia" w:ascii="宋体" w:hAnsi="宋体" w:eastAsia="宋体" w:cs="宋体"/>
          <w:b/>
          <w:bCs/>
          <w:color w:val="auto"/>
          <w:sz w:val="24"/>
          <w:szCs w:val="24"/>
          <w:highlight w:val="none"/>
        </w:rPr>
        <w:t xml:space="preserve">项目编号：</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674"/>
        <w:gridCol w:w="1001"/>
        <w:gridCol w:w="990"/>
        <w:gridCol w:w="1515"/>
        <w:gridCol w:w="2775"/>
        <w:gridCol w:w="1083"/>
      </w:tblGrid>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拟派岗位</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tcPr>
          <w:p>
            <w:pPr>
              <w:ind w:firstLine="241"/>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本项目工作范围</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r>
        <w:trPr>
          <w:jc w:val="center"/>
          <w:trHeight w:val="405"/>
        </w:trPr>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674" w:type="dxa"/>
            <w:textDirection w:val="lrTb"/>
            <w:noWrap/>
          </w:tcPr>
          <w:p>
            <w:pP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001"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775"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083" w:type="dxa"/>
            <w:textDirection w:val="lrTb"/>
            <w:noWrap/>
          </w:tcPr>
          <w:p>
            <w:pPr>
              <w:rPr>
                <w:rFonts w:ascii="宋体" w:hAnsi="宋体" w:eastAsia="宋体" w:cs="宋体"/>
                <w:b/>
                <w:bCs/>
                <w:color w:val="auto"/>
                <w:sz w:val="24"/>
                <w:highlight w:val="none"/>
              </w:rPr>
            </w:pPr>
            <w:r>
              <w:rPr>
                <w:rFonts w:ascii="宋体" w:hAnsi="宋体" w:eastAsia="宋体" w:cs="宋体"/>
                <w:b/>
                <w:bCs/>
                <w:color w:val="auto"/>
                <w:sz w:val="24"/>
                <w:highlight w:val="none"/>
              </w:rPr>
            </w:r>
            <w:r/>
          </w:p>
        </w:tc>
      </w:tr>
    </w:tbl>
    <w:p>
      <w:pPr>
        <w:ind w:firstLine="562"/>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注明：投标供应商须提供相关服务人员不少于8名，其中包括项目负责人1名，项目团队成员至少7名。其中项目负责人须具备一定的工作经验和较高的专业水平等。</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520"/>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p>
      <w:pPr>
        <w:ind w:firstLine="260"/>
        <w:spacing w:line="440" w:lineRule="exact"/>
        <w:rPr>
          <w:rFonts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投标供应商（盖公章）：</w:t>
      </w:r>
      <w:r/>
    </w:p>
    <w:p>
      <w:pPr>
        <w:ind w:firstLine="260"/>
        <w:spacing w:line="440" w:lineRule="exact"/>
        <w:rPr>
          <w:rFonts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被授权委托人签字：</w:t>
      </w:r>
      <w:r/>
    </w:p>
    <w:p>
      <w:pPr>
        <w:ind w:firstLine="260"/>
        <w:jc w:val="left"/>
        <w:spacing w:line="440" w:lineRule="exact"/>
        <w:rPr>
          <w:rFonts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2026年 　 月　   日</w:t>
      </w:r>
      <w:r/>
    </w:p>
    <w:p>
      <w:pPr>
        <w:jc w:val="lef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before="240" w:after="240" w:line="42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本公司郑重声明，根据《政府采购促进中小企业发展管理办法》（财库﹝2020﹞46号）的规定，本公司参加</w:t>
      </w:r>
      <w:bookmarkStart w:id="65" w:name="_Hlk78325824"/>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u w:val="single"/>
          <w:lang w:val="zh-CN"/>
        </w:rPr>
        <w:t xml:space="preserve">[项目编号：]</w:t>
      </w:r>
      <w:bookmarkEnd w:id="65"/>
      <w:r>
        <w:rPr>
          <w:rFonts w:hint="eastAsia" w:ascii="宋体" w:hAnsi="宋体" w:eastAsia="宋体" w:cs="宋体"/>
          <w:color w:val="auto"/>
          <w:sz w:val="24"/>
          <w:szCs w:val="24"/>
          <w:highlight w:val="none"/>
          <w:lang w:val="zh-CN"/>
        </w:rPr>
        <w:t xml:space="preserve">采购活动，该项目</w:t>
      </w:r>
      <w:r>
        <w:rPr>
          <w:rFonts w:hint="eastAsia" w:ascii="宋体" w:hAnsi="宋体" w:eastAsia="宋体" w:cs="宋体"/>
          <w:color w:val="auto"/>
          <w:sz w:val="24"/>
          <w:szCs w:val="24"/>
          <w:highlight w:val="none"/>
          <w:u w:val="single"/>
          <w:lang w:val="zh-CN"/>
        </w:rPr>
        <w:t xml:space="preserve">  服务  </w:t>
      </w:r>
      <w:r>
        <w:rPr>
          <w:rFonts w:hint="eastAsia" w:ascii="宋体" w:hAnsi="宋体" w:eastAsia="宋体" w:cs="宋体"/>
          <w:color w:val="auto"/>
          <w:sz w:val="24"/>
          <w:szCs w:val="24"/>
          <w:highlight w:val="none"/>
          <w:lang w:val="zh-CN"/>
        </w:rPr>
        <w:t xml:space="preserve">全部由符合政策要求的中小企业：本公司承接。本公司具体情况如下：</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u w:val="single"/>
          <w:lang w:val="zh-CN"/>
        </w:rPr>
        <w:t xml:space="preserve">原南通新广生化工地块风险管控工程服务项目属于招标文件中明确规定的“其他未列明行业”行业  </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2.承接企业为</w:t>
      </w:r>
      <w:r>
        <w:rPr>
          <w:rFonts w:hint="eastAsia" w:ascii="宋体" w:hAnsi="宋体" w:eastAsia="宋体" w:cs="宋体"/>
          <w:i/>
          <w:iCs/>
          <w:color w:val="auto"/>
          <w:sz w:val="24"/>
          <w:szCs w:val="24"/>
          <w:highlight w:val="none"/>
          <w:u w:val="single"/>
          <w:lang w:val="zh-CN"/>
        </w:rPr>
        <w:t xml:space="preserve">（填具投标人名称）</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3.本公司从业人员</w:t>
      </w:r>
      <w:r>
        <w:rPr>
          <w:rFonts w:hint="eastAsia" w:ascii="宋体" w:hAnsi="宋体" w:eastAsia="宋体" w:cs="宋体"/>
          <w:color w:val="auto"/>
          <w:sz w:val="24"/>
          <w:szCs w:val="24"/>
          <w:highlight w:val="none"/>
          <w:u w:val="single"/>
          <w:lang w:val="zh-CN"/>
        </w:rPr>
        <w:tab/>
      </w:r>
      <w:r>
        <w:rPr>
          <w:rFonts w:hint="eastAsia" w:ascii="宋体" w:hAnsi="宋体" w:eastAsia="宋体" w:cs="宋体"/>
          <w:color w:val="auto"/>
          <w:sz w:val="24"/>
          <w:szCs w:val="24"/>
          <w:highlight w:val="none"/>
          <w:lang w:val="zh-CN"/>
        </w:rPr>
        <w:t xml:space="preserve">人；</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4.本公司营业收入为</w:t>
      </w:r>
      <w:r>
        <w:rPr>
          <w:rFonts w:hint="eastAsia" w:ascii="宋体" w:hAnsi="宋体" w:eastAsia="宋体" w:cs="宋体"/>
          <w:color w:val="auto"/>
          <w:sz w:val="24"/>
          <w:szCs w:val="24"/>
          <w:highlight w:val="none"/>
          <w:u w:val="single"/>
          <w:lang w:val="zh-CN"/>
        </w:rPr>
        <w:tab/>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ab/>
      </w:r>
      <w:r>
        <w:rPr>
          <w:rFonts w:hint="eastAsia" w:ascii="宋体" w:hAnsi="宋体" w:eastAsia="宋体" w:cs="宋体"/>
          <w:color w:val="auto"/>
          <w:sz w:val="24"/>
          <w:szCs w:val="24"/>
          <w:highlight w:val="none"/>
          <w:lang w:val="zh-CN"/>
        </w:rPr>
        <w:t xml:space="preserve">万元；</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48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1.依据工信部联企业〔2011〕300号《关于印发中小企业划型标准规定的通知》中的中小企业划型标准规定，本项目供应商属于“其他未列明行业”内的中小企业，将享受中小企业扶持政策。</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2.“其他未列明行业”中小企业划型标准：从业人员300人以下的为中小微型企业。其中，从业人员100人及以上的为中型企业；从业人员10人及以上的为小型企业；从业人员10人以下的为微型企业。</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3.从业人员、营业收入、资产总额填报上一年度数据，无上一年度数据的新成立企业可不填报。</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4.参加本次采购活动，投标人须严格按照《政府采购促进中小企业发展管理办法》（财库﹝2020﹞46号）的文件要求，出具填报“中小企业声明函”。</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5.专门面向中小微型企业采购的项目，投标人如不提供此声明函，则不能通过资格审查；非专门面向中小微型企业采购的项目，投标人如不提供此声明函，价格将不做相应扣除。</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6.投标人自行勾选承接企业的企业规模类型。</w:t>
      </w:r>
      <w:r/>
    </w:p>
    <w:p>
      <w:pPr>
        <w:ind w:firstLine="522"/>
        <w:spacing w:line="360" w:lineRule="auto"/>
        <w:rPr>
          <w:rFonts w:ascii="宋体" w:hAnsi="宋体" w:eastAsia="宋体" w:cs="宋体"/>
          <w:b/>
          <w:bCs/>
          <w:color w:val="auto"/>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4"/>
      </w:pPr>
      <w:r>
        <w:rPr>
          <w:rFonts w:ascii="宋体" w:hAnsi="宋体" w:eastAsia="宋体" w:cs="宋体"/>
          <w:b/>
          <w:bCs/>
          <w:color w:val="auto"/>
          <w:highlight w:val="none"/>
        </w:rPr>
      </w:r>
      <w:r/>
    </w:p>
    <w:p>
      <w:pPr>
        <w:jc w:val="center"/>
        <w:spacing w:before="240" w:after="240" w:line="420" w:lineRule="exact"/>
        <w:rPr>
          <w:rFonts w:ascii="宋体" w:hAnsi="宋体" w:eastAsia="宋体" w:cs="宋体"/>
          <w:b/>
          <w:bCs/>
          <w:color w:val="auto"/>
          <w:highlight w:val="none"/>
        </w:rPr>
      </w:pPr>
      <w:r>
        <w:rPr>
          <w:rFonts w:hint="eastAsia" w:ascii="宋体" w:hAnsi="宋体" w:eastAsia="宋体" w:cs="宋体"/>
          <w:b/>
          <w:bCs/>
          <w:color w:val="auto"/>
          <w:sz w:val="28"/>
          <w:szCs w:val="28"/>
          <w:highlight w:val="none"/>
        </w:rPr>
        <w:t xml:space="preserve">残疾人福利性单位声明函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由本单位提供服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1.专门面向中小微型企业采购的项目，投标人为残疾人福利性单位并提供服务的必须提供此声明函，否则将不能通过资格审查。</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2.非专门面向中小微型企业采购的项目，投标人如不提供此声明函，价格将不做相应扣除。</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rPr>
          <w:rFonts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监狱企业证明函</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根据《财政部司法部关于政府采购支持监狱企业发展有关问题的通知》（财库〔2014〕68号）的规定，（填写供应商法定全称）为监狱企业。</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特此声明。</w:t>
      </w:r>
      <w:r/>
    </w:p>
    <w:p>
      <w:pPr>
        <w:ind w:firstLine="480"/>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省级以上监狱管理局、戒毒管理局（含新疆生产建设兵团）（盖章）：</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1"/>
          <w:highlight w:val="none"/>
        </w:rPr>
        <w:t xml:space="preserve">日期：</w:t>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sz w:val="24"/>
          <w:szCs w:val="21"/>
          <w:highlight w:val="none"/>
        </w:rPr>
        <w:outlineLvl w:val="3"/>
      </w:pPr>
      <w:r>
        <w:rPr>
          <w:rFonts w:ascii="宋体" w:hAnsi="宋体" w:eastAsia="宋体" w:cs="宋体"/>
          <w:b/>
          <w:bCs/>
          <w:color w:val="auto"/>
          <w:sz w:val="24"/>
          <w:szCs w:val="21"/>
          <w:highlight w:val="none"/>
        </w:rPr>
      </w:r>
      <w:r/>
    </w:p>
    <w:p>
      <w:pPr>
        <w:jc w:val="left"/>
        <w:spacing w:line="420" w:lineRule="exact"/>
        <w:rPr>
          <w:rFonts w:ascii="宋体" w:hAnsi="宋体" w:eastAsia="宋体" w:cs="宋体"/>
          <w:b/>
          <w:bCs/>
          <w:color w:val="auto"/>
          <w:highlight w:val="none"/>
        </w:rPr>
        <w:outlineLvl w:val="3"/>
      </w:pPr>
      <w:r>
        <w:rPr>
          <w:rFonts w:hint="eastAsia" w:ascii="宋体" w:hAnsi="宋体" w:eastAsia="宋体" w:cs="宋体"/>
          <w:b/>
          <w:bCs/>
          <w:color w:val="auto"/>
          <w:highlight w:val="none"/>
        </w:rPr>
        <w:t xml:space="preserve">商务技术标评分标准中需提供的相关得分佐证材料</w:t>
      </w:r>
      <w:r/>
    </w:p>
    <w:p>
      <w:pPr>
        <w:ind w:firstLine="485"/>
        <w:jc w:val="left"/>
        <w:spacing w:line="42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ind w:firstLine="485"/>
        <w:jc w:val="left"/>
        <w:spacing w:line="420" w:lineRule="exact"/>
        <w:rPr>
          <w:rFonts w:ascii="宋体" w:hAnsi="宋体" w:eastAsia="宋体" w:cs="宋体"/>
          <w:color w:val="auto"/>
          <w:highlight w:val="none"/>
        </w:rPr>
      </w:pPr>
      <w:r>
        <w:rPr>
          <w:rFonts w:hint="eastAsia" w:ascii="宋体" w:hAnsi="宋体" w:eastAsia="宋体" w:cs="宋体"/>
          <w:color w:val="auto"/>
          <w:highlight w:val="none"/>
        </w:rPr>
        <w:t xml:space="preserve">格式自拟。</w:t>
      </w:r>
      <w:r/>
    </w:p>
    <w:sectPr>
      <w:headerReference w:type="default" r:id="rId13"/>
      <w:footerReference w:type="default" r:id="rId17"/>
      <w:footnotePr/>
      <w:endnotePr/>
      <w:type w:val="nextPage"/>
      <w:pgSz w:w="11905" w:h="16838" w:orient="portrait"/>
      <w:pgMar w:top="1440" w:right="1519" w:bottom="1440" w:left="1519"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NewRomanPSMT">
    <w:panose1 w:val="02020603050405020304"/>
  </w:font>
  <w:font w:name="PingFangSC-Regular-Identity-H">
    <w:panose1 w:val="020B0503020202020204"/>
  </w:font>
  <w:font w:name="仿宋">
    <w:panose1 w:val="02010609060101010101"/>
  </w:font>
  <w:font w:name="等线">
    <w:panose1 w:val="02010600030101010101"/>
  </w:font>
  <w:font w:name="Tahoma">
    <w:panose1 w:val="020B0604030504040204"/>
  </w:font>
  <w:font w:name="Menlo">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Courier New">
    <w:panose1 w:val="02070309020205020404"/>
  </w:font>
  <w:font w:name="Arial">
    <w:panose1 w:val="020B0604020202020204"/>
  </w:font>
  <w:font w:name="创艺简仿宋">
    <w:panose1 w:val="020B0503020202020204"/>
  </w:font>
  <w:font w:name="楷体_GB2312">
    <w:panose1 w:val="02010609060101010101"/>
  </w:font>
  <w:font w:name="SimSun">
    <w:panose1 w:val="02010600030101010101"/>
  </w:font>
  <w:font w:name="monospace">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Pr>
        <w:b/>
        <w:sz w:val="24"/>
        <w:szCs w:val="24"/>
      </w:rPr>
      <w:fldChar w:fldCharType="begin"/>
    </w:r>
    <w:r>
      <w:rPr>
        <w:b/>
      </w:rPr>
      <w:instrText xml:space="preserve">PAGE</w:instrText>
    </w:r>
    <w:r>
      <w:rPr>
        <w:b/>
        <w:sz w:val="24"/>
        <w:szCs w:val="24"/>
      </w:rPr>
      <w:fldChar w:fldCharType="separate"/>
    </w:r>
    <w:r>
      <w:rPr>
        <w:b/>
      </w:rPr>
      <w:t xml:space="preserve">49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1000"/>
      </w:rPr>
      <w:framePr w:wrap="around" w:vAnchor="text" w:hAnchor="margin" w:xAlign="right" w:y="1"/>
    </w:pPr>
    <w:r>
      <w:fldChar w:fldCharType="begin"/>
    </w:r>
    <w:r>
      <w:rPr>
        <w:rStyle w:val="1000"/>
      </w:rPr>
      <w:instrText xml:space="preserve">PAGE  </w:instrText>
    </w:r>
    <w:r>
      <w:fldChar w:fldCharType="end"/>
    </w:r>
    <w:r/>
  </w:p>
  <w:p>
    <w:pPr>
      <w:pStyle w:val="96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96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Pr>
        <w:b/>
        <w:sz w:val="24"/>
        <w:szCs w:val="24"/>
      </w:rPr>
      <w:fldChar w:fldCharType="begin"/>
    </w:r>
    <w:r>
      <w:rPr>
        <w:b/>
      </w:rPr>
      <w:instrText xml:space="preserve">PAGE</w:instrText>
    </w:r>
    <w:r>
      <w:rPr>
        <w:b/>
        <w:sz w:val="24"/>
        <w:szCs w:val="24"/>
      </w:rPr>
      <w:fldChar w:fldCharType="separate"/>
    </w:r>
    <w:r>
      <w:rPr>
        <w:b/>
      </w:rPr>
      <w:t xml:space="preserve">69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69</w:t>
    </w:r>
    <w:r>
      <w:rPr>
        <w:b/>
        <w:sz w:val="24"/>
        <w:szCs w:val="24"/>
      </w:rPr>
      <w:fldChar w:fldCharType="end"/>
    </w:r>
    <w:r/>
  </w:p>
  <w:p>
    <w:pPr>
      <w:pStyle w:val="966"/>
      <w:ind w:firstLine="3420"/>
      <w:jc w:val="both"/>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tabs>
        <w:tab w:val="left" w:pos="540"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30"/>
      <w:isLgl w:val="false"/>
      <w:suff w:val="tab"/>
      <w:lvlText w:val="%1.%2.%3.%4.%5"/>
      <w:lvlJc w:val="left"/>
      <w:pPr>
        <w:ind w:left="1008" w:hanging="1008"/>
        <w:tabs>
          <w:tab w:val="left" w:pos="1008" w:leader="none"/>
        </w:tabs>
      </w:pPr>
    </w:lvl>
    <w:lvl w:ilvl="5">
      <w:start w:val="1"/>
      <w:numFmt w:val="decimal"/>
      <w:pStyle w:val="931"/>
      <w:isLgl w:val="false"/>
      <w:suff w:val="tab"/>
      <w:lvlText w:val="%1.%2.%3.%4.%5.%6"/>
      <w:lvlJc w:val="left"/>
      <w:pPr>
        <w:ind w:left="1152" w:hanging="1152"/>
        <w:tabs>
          <w:tab w:val="left" w:pos="1152" w:leader="none"/>
        </w:tabs>
      </w:pPr>
    </w:lvl>
    <w:lvl w:ilvl="6">
      <w:start w:val="1"/>
      <w:numFmt w:val="decimal"/>
      <w:pStyle w:val="932"/>
      <w:isLgl w:val="false"/>
      <w:suff w:val="tab"/>
      <w:lvlText w:val="%1.%2.%3.%4.%5.%6.%7"/>
      <w:lvlJc w:val="left"/>
      <w:pPr>
        <w:ind w:left="1296" w:hanging="1296"/>
        <w:tabs>
          <w:tab w:val="left" w:pos="1296" w:leader="none"/>
        </w:tabs>
      </w:pPr>
    </w:lvl>
    <w:lvl w:ilvl="7">
      <w:start w:val="1"/>
      <w:numFmt w:val="decimal"/>
      <w:pStyle w:val="933"/>
      <w:isLgl w:val="false"/>
      <w:suff w:val="tab"/>
      <w:lvlText w:val="%1.%2.%3.%4.%5.%6.%7.%8"/>
      <w:lvlJc w:val="left"/>
      <w:pPr>
        <w:ind w:left="1440" w:hanging="1440"/>
        <w:tabs>
          <w:tab w:val="left" w:pos="1440" w:leader="none"/>
        </w:tabs>
      </w:pPr>
    </w:lvl>
    <w:lvl w:ilvl="8">
      <w:start w:val="1"/>
      <w:numFmt w:val="decimal"/>
      <w:pStyle w:val="934"/>
      <w:isLgl w:val="false"/>
      <w:suff w:val="tab"/>
      <w:lvlText w:val="%1.%2.%3.%4.%5.%6.%7.%8.%9"/>
      <w:lvlJc w:val="left"/>
      <w:pPr>
        <w:ind w:left="1584" w:hanging="1584"/>
        <w:tabs>
          <w:tab w:val="left" w:pos="1584" w:leader="none"/>
        </w:tabs>
      </w:pPr>
    </w:lvl>
  </w:abstractNum>
  <w:abstractNum w:abstractNumId="5">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TOC Heading"/>
    <w:uiPriority w:val="39"/>
    <w:unhideWhenUsed/>
  </w:style>
  <w:style w:type="paragraph" w:styleId="782"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83">
    <w:name w:val="Heading 1"/>
    <w:basedOn w:val="782"/>
    <w:next w:val="782"/>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82"/>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uiPriority w:val="9"/>
    <w:unhideWhenUsed/>
    <w:qFormat/>
    <w:pPr>
      <w:keepLines/>
      <w:keepNext/>
      <w:spacing w:before="320" w:after="200"/>
      <w:outlineLvl w:val="3"/>
    </w:pPr>
    <w:rPr>
      <w:rFonts w:ascii="Arial" w:hAnsi="Arial" w:eastAsia="Arial" w:cs="Arial"/>
      <w:b/>
      <w:bCs/>
      <w:szCs w:val="26"/>
    </w:rPr>
  </w:style>
  <w:style w:type="paragraph" w:styleId="787">
    <w:name w:val="Heading 5"/>
    <w:basedOn w:val="782"/>
    <w:next w:val="782"/>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uiPriority w:val="9"/>
    <w:unhideWhenUsed/>
    <w:qFormat/>
    <w:pPr>
      <w:keepLines/>
      <w:keepNext/>
      <w:spacing w:before="320" w:after="200"/>
      <w:outlineLvl w:val="8"/>
    </w:pPr>
    <w:rPr>
      <w:rFonts w:ascii="Arial" w:hAnsi="Arial" w:eastAsia="Arial" w:cs="Arial"/>
      <w:i/>
      <w:iCs/>
      <w:sz w:val="21"/>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spacing w:after="57"/>
    </w:pPr>
  </w:style>
  <w:style w:type="paragraph" w:styleId="795">
    <w:name w:val="Caption"/>
    <w:basedOn w:val="782"/>
    <w:next w:val="782"/>
    <w:uiPriority w:val="35"/>
    <w:semiHidden/>
    <w:unhideWhenUsed/>
    <w:qFormat/>
    <w:pPr>
      <w:spacing w:line="276" w:lineRule="auto"/>
    </w:pPr>
    <w:rPr>
      <w:b/>
      <w:bCs/>
      <w:color w:val="4f81bd" w:themeColor="accent1"/>
      <w:sz w:val="18"/>
      <w:szCs w:val="18"/>
    </w:rPr>
  </w:style>
  <w:style w:type="paragraph" w:styleId="796">
    <w:name w:val="annotation text"/>
    <w:basedOn w:val="782"/>
    <w:link w:val="1372"/>
    <w:uiPriority w:val="0"/>
    <w:qFormat/>
    <w:pPr>
      <w:jc w:val="left"/>
    </w:pPr>
  </w:style>
  <w:style w:type="paragraph" w:styleId="797">
    <w:name w:val="Body Text"/>
    <w:basedOn w:val="782"/>
    <w:next w:val="782"/>
    <w:uiPriority w:val="0"/>
    <w:unhideWhenUsed/>
    <w:qFormat/>
    <w:pPr>
      <w:spacing w:after="120"/>
    </w:pPr>
    <w:rPr>
      <w:rFonts w:eastAsia="宋体"/>
      <w:szCs w:val="24"/>
    </w:rPr>
  </w:style>
  <w:style w:type="paragraph" w:styleId="798">
    <w:name w:val="Body Text Indent"/>
    <w:basedOn w:val="782"/>
    <w:next w:val="799"/>
    <w:uiPriority w:val="99"/>
    <w:qFormat/>
    <w:pPr>
      <w:ind w:firstLine="420"/>
      <w:spacing w:line="360" w:lineRule="exact"/>
    </w:pPr>
    <w:rPr>
      <w:szCs w:val="21"/>
    </w:rPr>
  </w:style>
  <w:style w:type="paragraph" w:styleId="799">
    <w:name w:val="envelope return"/>
    <w:basedOn w:val="782"/>
    <w:uiPriority w:val="0"/>
    <w:qFormat/>
    <w:rPr>
      <w:rFonts w:ascii="Arial" w:hAnsi="Arial" w:cs="Arial"/>
    </w:rPr>
  </w:style>
  <w:style w:type="paragraph" w:styleId="800">
    <w:name w:val="toc 5"/>
    <w:basedOn w:val="782"/>
    <w:next w:val="782"/>
    <w:uiPriority w:val="39"/>
    <w:unhideWhenUsed/>
    <w:qFormat/>
    <w:pPr>
      <w:ind w:left="1134"/>
      <w:spacing w:after="57"/>
    </w:pPr>
  </w:style>
  <w:style w:type="paragraph" w:styleId="801">
    <w:name w:val="toc 3"/>
    <w:basedOn w:val="782"/>
    <w:next w:val="782"/>
    <w:uiPriority w:val="39"/>
    <w:unhideWhenUsed/>
    <w:qFormat/>
    <w:pPr>
      <w:ind w:left="567"/>
      <w:spacing w:after="57"/>
    </w:pPr>
  </w:style>
  <w:style w:type="paragraph" w:styleId="802">
    <w:name w:val="Plain Text"/>
    <w:basedOn w:val="782"/>
    <w:uiPriority w:val="0"/>
    <w:qFormat/>
    <w:rPr>
      <w:rFonts w:ascii="宋体" w:hAnsi="Courier New"/>
      <w:sz w:val="24"/>
    </w:rPr>
  </w:style>
  <w:style w:type="paragraph" w:styleId="803">
    <w:name w:val="toc 8"/>
    <w:basedOn w:val="782"/>
    <w:next w:val="782"/>
    <w:uiPriority w:val="39"/>
    <w:unhideWhenUsed/>
    <w:qFormat/>
    <w:pPr>
      <w:ind w:left="1984"/>
      <w:spacing w:after="57"/>
    </w:pPr>
  </w:style>
  <w:style w:type="paragraph" w:styleId="804">
    <w:name w:val="endnote text"/>
    <w:basedOn w:val="782"/>
    <w:uiPriority w:val="99"/>
    <w:semiHidden/>
    <w:unhideWhenUsed/>
    <w:qFormat/>
    <w:rPr>
      <w:sz w:val="20"/>
    </w:rPr>
  </w:style>
  <w:style w:type="paragraph" w:styleId="805">
    <w:name w:val="Balloon Text"/>
    <w:basedOn w:val="782"/>
    <w:link w:val="1371"/>
    <w:uiPriority w:val="99"/>
    <w:semiHidden/>
    <w:unhideWhenUsed/>
    <w:qFormat/>
    <w:rPr>
      <w:sz w:val="18"/>
      <w:szCs w:val="18"/>
    </w:rPr>
  </w:style>
  <w:style w:type="paragraph" w:styleId="806">
    <w:name w:val="Footer"/>
    <w:basedOn w:val="782"/>
    <w:uiPriority w:val="99"/>
    <w:unhideWhenUsed/>
    <w:qFormat/>
    <w:pPr>
      <w:tabs>
        <w:tab w:val="center" w:pos="7143" w:leader="none"/>
        <w:tab w:val="right" w:pos="14287" w:leader="none"/>
      </w:tabs>
    </w:pPr>
  </w:style>
  <w:style w:type="paragraph" w:styleId="807">
    <w:name w:val="Header"/>
    <w:basedOn w:val="782"/>
    <w:uiPriority w:val="99"/>
    <w:unhideWhenUsed/>
    <w:qFormat/>
    <w:pPr>
      <w:tabs>
        <w:tab w:val="center" w:pos="7143" w:leader="none"/>
        <w:tab w:val="right" w:pos="14287" w:leader="none"/>
      </w:tabs>
    </w:pPr>
  </w:style>
  <w:style w:type="paragraph" w:styleId="808">
    <w:name w:val="toc 1"/>
    <w:basedOn w:val="782"/>
    <w:next w:val="782"/>
    <w:uiPriority w:val="39"/>
    <w:unhideWhenUsed/>
    <w:qFormat/>
    <w:pPr>
      <w:spacing w:after="57"/>
    </w:pPr>
  </w:style>
  <w:style w:type="paragraph" w:styleId="809">
    <w:name w:val="toc 4"/>
    <w:basedOn w:val="782"/>
    <w:next w:val="782"/>
    <w:uiPriority w:val="39"/>
    <w:unhideWhenUsed/>
    <w:qFormat/>
    <w:pPr>
      <w:ind w:left="850"/>
      <w:spacing w:after="57"/>
    </w:pPr>
  </w:style>
  <w:style w:type="paragraph" w:styleId="810">
    <w:name w:val="Subtitle"/>
    <w:basedOn w:val="782"/>
    <w:next w:val="782"/>
    <w:uiPriority w:val="11"/>
    <w:qFormat/>
    <w:pPr>
      <w:spacing w:before="200" w:after="200"/>
    </w:pPr>
    <w:rPr>
      <w:sz w:val="24"/>
      <w:szCs w:val="24"/>
    </w:rPr>
  </w:style>
  <w:style w:type="paragraph" w:styleId="811">
    <w:name w:val="footnote text"/>
    <w:basedOn w:val="782"/>
    <w:uiPriority w:val="99"/>
    <w:semiHidden/>
    <w:unhideWhenUsed/>
    <w:qFormat/>
    <w:pPr>
      <w:spacing w:after="40"/>
    </w:pPr>
    <w:rPr>
      <w:sz w:val="18"/>
    </w:rPr>
  </w:style>
  <w:style w:type="paragraph" w:styleId="812">
    <w:name w:val="toc 6"/>
    <w:basedOn w:val="782"/>
    <w:next w:val="782"/>
    <w:uiPriority w:val="39"/>
    <w:unhideWhenUsed/>
    <w:qFormat/>
    <w:pPr>
      <w:ind w:left="1417"/>
      <w:spacing w:after="57"/>
    </w:pPr>
  </w:style>
  <w:style w:type="paragraph" w:styleId="813">
    <w:name w:val="table of figures"/>
    <w:basedOn w:val="782"/>
    <w:next w:val="782"/>
    <w:uiPriority w:val="99"/>
    <w:unhideWhenUsed/>
    <w:qFormat/>
  </w:style>
  <w:style w:type="paragraph" w:styleId="814">
    <w:name w:val="toc 2"/>
    <w:basedOn w:val="782"/>
    <w:next w:val="782"/>
    <w:uiPriority w:val="39"/>
    <w:unhideWhenUsed/>
    <w:qFormat/>
    <w:pPr>
      <w:ind w:left="283"/>
      <w:spacing w:after="57"/>
    </w:pPr>
  </w:style>
  <w:style w:type="paragraph" w:styleId="815">
    <w:name w:val="toc 9"/>
    <w:basedOn w:val="782"/>
    <w:next w:val="782"/>
    <w:uiPriority w:val="39"/>
    <w:unhideWhenUsed/>
    <w:qFormat/>
    <w:pPr>
      <w:ind w:left="2268"/>
      <w:spacing w:after="57"/>
    </w:pPr>
  </w:style>
  <w:style w:type="paragraph" w:styleId="816">
    <w:name w:val="Normal (Web)"/>
    <w:basedOn w:val="782"/>
    <w:uiPriority w:val="99"/>
    <w:semiHidden/>
    <w:unhideWhenUsed/>
    <w:qFormat/>
    <w:pPr>
      <w:jc w:val="left"/>
    </w:pPr>
    <w:rPr>
      <w:sz w:val="24"/>
    </w:rPr>
  </w:style>
  <w:style w:type="paragraph" w:styleId="817">
    <w:name w:val="Title"/>
    <w:basedOn w:val="782"/>
    <w:next w:val="782"/>
    <w:uiPriority w:val="10"/>
    <w:qFormat/>
    <w:pPr>
      <w:contextualSpacing/>
      <w:spacing w:before="300" w:after="200"/>
    </w:pPr>
    <w:rPr>
      <w:sz w:val="48"/>
      <w:szCs w:val="48"/>
    </w:rPr>
  </w:style>
  <w:style w:type="paragraph" w:styleId="818">
    <w:name w:val="annotation subject"/>
    <w:basedOn w:val="796"/>
    <w:next w:val="796"/>
    <w:link w:val="1373"/>
    <w:uiPriority w:val="99"/>
    <w:semiHidden/>
    <w:unhideWhenUsed/>
    <w:qFormat/>
    <w:rPr>
      <w:b/>
      <w:bCs/>
    </w:rPr>
  </w:style>
  <w:style w:type="paragraph" w:styleId="819">
    <w:name w:val="Body Text First Indent"/>
    <w:basedOn w:val="797"/>
    <w:uiPriority w:val="99"/>
    <w:qFormat/>
    <w:pPr>
      <w:ind w:firstLine="200"/>
      <w:spacing w:line="360" w:lineRule="auto"/>
    </w:pPr>
    <w:rPr>
      <w:rFonts w:ascii="仿宋_GB2312" w:eastAsia="仿宋_GB2312"/>
      <w:sz w:val="30"/>
      <w:szCs w:val="20"/>
    </w:rPr>
  </w:style>
  <w:style w:type="paragraph" w:styleId="820">
    <w:name w:val="Body Text First Indent 2"/>
    <w:basedOn w:val="798"/>
    <w:uiPriority w:val="99"/>
    <w:unhideWhenUsed/>
    <w:qFormat/>
    <w:pPr>
      <w:ind w:left="420" w:firstLine="200"/>
      <w:spacing w:after="120"/>
    </w:pPr>
    <w:rPr>
      <w:rFonts w:ascii="Calibri" w:hAnsi="Calibri" w:eastAsia="宋体"/>
      <w:sz w:val="21"/>
      <w:szCs w:val="24"/>
    </w:rPr>
  </w:style>
  <w:style w:type="table" w:styleId="8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basedOn w:val="792"/>
    <w:uiPriority w:val="22"/>
    <w:qFormat/>
    <w:rPr>
      <w:b/>
    </w:rPr>
  </w:style>
  <w:style w:type="character" w:styleId="823">
    <w:name w:val="endnote reference"/>
    <w:uiPriority w:val="99"/>
    <w:semiHidden/>
    <w:unhideWhenUsed/>
    <w:qFormat/>
    <w:rPr>
      <w:vertAlign w:val="superscript"/>
    </w:rPr>
  </w:style>
  <w:style w:type="character" w:styleId="824">
    <w:name w:val="FollowedHyperlink"/>
    <w:basedOn w:val="792"/>
    <w:uiPriority w:val="99"/>
    <w:semiHidden/>
    <w:unhideWhenUsed/>
    <w:qFormat/>
    <w:rPr>
      <w:color w:val="333333"/>
      <w:u w:val="none"/>
    </w:rPr>
  </w:style>
  <w:style w:type="character" w:styleId="825">
    <w:name w:val="Hyperlink"/>
    <w:uiPriority w:val="99"/>
    <w:unhideWhenUsed/>
    <w:qFormat/>
    <w:rPr>
      <w:color w:val="0000ff" w:themeColor="hyperlink"/>
      <w:u w:val="single"/>
    </w:rPr>
  </w:style>
  <w:style w:type="character" w:styleId="826">
    <w:name w:val="annotation reference"/>
    <w:basedOn w:val="792"/>
    <w:uiPriority w:val="99"/>
    <w:semiHidden/>
    <w:unhideWhenUsed/>
    <w:qFormat/>
    <w:rPr>
      <w:sz w:val="21"/>
      <w:szCs w:val="21"/>
    </w:rPr>
  </w:style>
  <w:style w:type="character" w:styleId="827">
    <w:name w:val="footnote reference"/>
    <w:uiPriority w:val="99"/>
    <w:unhideWhenUsed/>
    <w:qFormat/>
    <w:rPr>
      <w:vertAlign w:val="superscript"/>
    </w:rPr>
  </w:style>
  <w:style w:type="paragraph" w:styleId="828" w:customStyle="1">
    <w:name w:val="正文首行缩进1"/>
    <w:basedOn w:val="829"/>
    <w:uiPriority w:val="0"/>
    <w:qFormat/>
    <w:pPr>
      <w:ind w:firstLine="200"/>
    </w:pPr>
    <w:rPr>
      <w:rFonts w:ascii="仿宋_GB2312" w:eastAsia="仿宋_GB2312"/>
      <w:sz w:val="30"/>
      <w:szCs w:val="30"/>
    </w:rPr>
  </w:style>
  <w:style w:type="paragraph" w:styleId="829" w:customStyle="1">
    <w:name w:val="正文文本1"/>
    <w:basedOn w:val="830"/>
    <w:next w:val="782"/>
    <w:uiPriority w:val="0"/>
    <w:qFormat/>
    <w:pPr>
      <w:spacing w:line="400" w:lineRule="exact"/>
    </w:pPr>
    <w:rPr>
      <w:rFonts w:ascii="楷体_GB2312"/>
      <w:sz w:val="28"/>
      <w:lang w:eastAsia="en-US"/>
    </w:rPr>
  </w:style>
  <w:style w:type="paragraph" w:styleId="830" w:customStyle="1">
    <w:name w:val="正文11"/>
    <w:next w:val="829"/>
    <w:uiPriority w:val="99"/>
    <w:qFormat/>
    <w:pPr>
      <w:jc w:val="both"/>
      <w:widowControl w:val="off"/>
    </w:pPr>
    <w:rPr>
      <w:rFonts w:ascii="Calibri" w:hAnsi="Calibri" w:eastAsia="宋体" w:cs="Times New Roman"/>
      <w:sz w:val="21"/>
      <w:szCs w:val="21"/>
      <w:lang w:val="en-US" w:eastAsia="zh-CN" w:bidi="ar-SA"/>
    </w:rPr>
  </w:style>
  <w:style w:type="paragraph" w:styleId="831" w:customStyle="1">
    <w:name w:val="目录 82"/>
    <w:next w:val="782"/>
    <w:uiPriority w:val="0"/>
    <w:qFormat/>
    <w:pPr>
      <w:ind w:left="2975"/>
      <w:jc w:val="both"/>
    </w:pPr>
    <w:rPr>
      <w:rFonts w:ascii="宋体" w:hAnsi="宋体" w:eastAsia="宋体" w:cs="宋体"/>
      <w:sz w:val="21"/>
      <w:lang w:val="en-US" w:eastAsia="zh-CN" w:bidi="ar-SA"/>
    </w:rPr>
  </w:style>
  <w:style w:type="paragraph" w:styleId="832">
    <w:name w:val="List Paragraph"/>
    <w:basedOn w:val="782"/>
    <w:uiPriority w:val="34"/>
    <w:qFormat/>
    <w:pPr>
      <w:contextualSpacing/>
      <w:ind w:left="720"/>
    </w:pPr>
  </w:style>
  <w:style w:type="paragraph" w:styleId="833">
    <w:name w:val="No Spacing"/>
    <w:uiPriority w:val="1"/>
    <w:qFormat/>
    <w:rPr>
      <w:rFonts w:ascii="Times New Roman" w:hAnsi="Times New Roman" w:eastAsia="宋体" w:cs="Times New Roman"/>
      <w:lang w:val="en-US" w:eastAsia="zh-CN" w:bidi="ar-SA"/>
    </w:rPr>
  </w:style>
  <w:style w:type="paragraph" w:styleId="834">
    <w:name w:val="Quote"/>
    <w:basedOn w:val="782"/>
    <w:next w:val="782"/>
    <w:uiPriority w:val="29"/>
    <w:qFormat/>
    <w:pPr>
      <w:ind w:left="720" w:right="720"/>
    </w:pPr>
    <w:rPr>
      <w:i/>
    </w:rPr>
  </w:style>
  <w:style w:type="paragraph" w:styleId="835">
    <w:name w:val="Intense Quote"/>
    <w:basedOn w:val="782"/>
    <w:next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6" w:customStyle="1">
    <w:name w:val="标题 112"/>
    <w:basedOn w:val="782"/>
    <w:next w:val="782"/>
    <w:uiPriority w:val="9"/>
    <w:qFormat/>
    <w:pPr>
      <w:keepLines/>
      <w:keepNext/>
      <w:spacing w:before="480" w:after="200"/>
      <w:outlineLvl w:val="0"/>
    </w:pPr>
    <w:rPr>
      <w:rFonts w:ascii="Arial" w:hAnsi="Arial" w:eastAsia="Arial" w:cs="Arial"/>
      <w:sz w:val="40"/>
      <w:szCs w:val="40"/>
    </w:rPr>
  </w:style>
  <w:style w:type="paragraph" w:styleId="837" w:customStyle="1">
    <w:name w:val="标题 212"/>
    <w:basedOn w:val="782"/>
    <w:next w:val="782"/>
    <w:uiPriority w:val="9"/>
    <w:qFormat/>
    <w:pPr>
      <w:keepLines/>
      <w:keepNext/>
      <w:spacing w:before="360" w:after="200"/>
      <w:outlineLvl w:val="1"/>
    </w:pPr>
    <w:rPr>
      <w:rFonts w:ascii="Arial" w:hAnsi="Arial" w:eastAsia="Arial" w:cs="Arial"/>
      <w:sz w:val="34"/>
    </w:rPr>
  </w:style>
  <w:style w:type="paragraph" w:styleId="838" w:customStyle="1">
    <w:name w:val="标题 312"/>
    <w:basedOn w:val="782"/>
    <w:next w:val="782"/>
    <w:uiPriority w:val="9"/>
    <w:qFormat/>
    <w:pPr>
      <w:keepLines/>
      <w:keepNext/>
      <w:spacing w:before="320" w:after="200"/>
      <w:outlineLvl w:val="2"/>
    </w:pPr>
    <w:rPr>
      <w:rFonts w:ascii="Arial" w:hAnsi="Arial" w:eastAsia="Arial" w:cs="Arial"/>
      <w:sz w:val="30"/>
      <w:szCs w:val="30"/>
    </w:rPr>
  </w:style>
  <w:style w:type="paragraph" w:styleId="839" w:customStyle="1">
    <w:name w:val="标题 412"/>
    <w:basedOn w:val="782"/>
    <w:next w:val="782"/>
    <w:uiPriority w:val="9"/>
    <w:qFormat/>
    <w:pPr>
      <w:keepLines/>
      <w:keepNext/>
      <w:spacing w:before="320" w:after="200"/>
      <w:outlineLvl w:val="3"/>
    </w:pPr>
    <w:rPr>
      <w:rFonts w:ascii="Arial" w:hAnsi="Arial" w:eastAsia="Arial" w:cs="Arial"/>
      <w:b/>
      <w:bCs/>
      <w:szCs w:val="26"/>
    </w:rPr>
  </w:style>
  <w:style w:type="paragraph" w:styleId="840" w:customStyle="1">
    <w:name w:val="标题 512"/>
    <w:basedOn w:val="782"/>
    <w:next w:val="782"/>
    <w:uiPriority w:val="9"/>
    <w:qFormat/>
    <w:pPr>
      <w:keepLines/>
      <w:keepNext/>
      <w:spacing w:before="320" w:after="200"/>
      <w:outlineLvl w:val="4"/>
    </w:pPr>
    <w:rPr>
      <w:rFonts w:ascii="Arial" w:hAnsi="Arial" w:eastAsia="Arial" w:cs="Arial"/>
      <w:b/>
      <w:bCs/>
      <w:sz w:val="24"/>
      <w:szCs w:val="24"/>
    </w:rPr>
  </w:style>
  <w:style w:type="paragraph" w:styleId="841" w:customStyle="1">
    <w:name w:val="标题 612"/>
    <w:basedOn w:val="782"/>
    <w:next w:val="782"/>
    <w:uiPriority w:val="9"/>
    <w:qFormat/>
    <w:pPr>
      <w:keepLines/>
      <w:keepNext/>
      <w:spacing w:before="320" w:after="200"/>
      <w:outlineLvl w:val="5"/>
    </w:pPr>
    <w:rPr>
      <w:rFonts w:ascii="Arial" w:hAnsi="Arial" w:eastAsia="Arial" w:cs="Arial"/>
      <w:b/>
      <w:bCs/>
      <w:sz w:val="22"/>
      <w:szCs w:val="22"/>
    </w:rPr>
  </w:style>
  <w:style w:type="paragraph" w:styleId="842" w:customStyle="1">
    <w:name w:val="标题 712"/>
    <w:basedOn w:val="782"/>
    <w:next w:val="782"/>
    <w:uiPriority w:val="9"/>
    <w:qFormat/>
    <w:pPr>
      <w:keepLines/>
      <w:keepNext/>
      <w:spacing w:before="320" w:after="200"/>
      <w:outlineLvl w:val="6"/>
    </w:pPr>
    <w:rPr>
      <w:rFonts w:ascii="Arial" w:hAnsi="Arial" w:eastAsia="Arial" w:cs="Arial"/>
      <w:b/>
      <w:bCs/>
      <w:i/>
      <w:iCs/>
      <w:sz w:val="22"/>
      <w:szCs w:val="22"/>
    </w:rPr>
  </w:style>
  <w:style w:type="paragraph" w:styleId="843" w:customStyle="1">
    <w:name w:val="标题 812"/>
    <w:basedOn w:val="782"/>
    <w:next w:val="782"/>
    <w:uiPriority w:val="9"/>
    <w:qFormat/>
    <w:pPr>
      <w:keepLines/>
      <w:keepNext/>
      <w:spacing w:before="320" w:after="200"/>
      <w:outlineLvl w:val="7"/>
    </w:pPr>
    <w:rPr>
      <w:rFonts w:ascii="Arial" w:hAnsi="Arial" w:eastAsia="Arial" w:cs="Arial"/>
      <w:i/>
      <w:iCs/>
      <w:sz w:val="22"/>
      <w:szCs w:val="22"/>
    </w:rPr>
  </w:style>
  <w:style w:type="paragraph" w:styleId="844" w:customStyle="1">
    <w:name w:val="标题 912"/>
    <w:basedOn w:val="782"/>
    <w:next w:val="782"/>
    <w:uiPriority w:val="9"/>
    <w:qFormat/>
    <w:pPr>
      <w:keepLines/>
      <w:keepNext/>
      <w:spacing w:before="320" w:after="200"/>
      <w:outlineLvl w:val="8"/>
    </w:pPr>
    <w:rPr>
      <w:rFonts w:ascii="Arial" w:hAnsi="Arial" w:eastAsia="Arial" w:cs="Arial"/>
      <w:i/>
      <w:iCs/>
      <w:sz w:val="21"/>
      <w:szCs w:val="21"/>
    </w:rPr>
  </w:style>
  <w:style w:type="character" w:styleId="845" w:customStyle="1">
    <w:name w:val="默认段落字体12"/>
    <w:uiPriority w:val="1"/>
    <w:unhideWhenUsed/>
    <w:qFormat/>
  </w:style>
  <w:style w:type="table" w:styleId="846" w:customStyle="1">
    <w:name w:val="普通表格12"/>
    <w:uiPriority w:val="99"/>
    <w:unhideWhenUsed/>
    <w:qFormat/>
    <w:tblPr>
      <w:tblCellMar>
        <w:left w:w="0" w:type="dxa"/>
        <w:top w:w="0" w:type="dxa"/>
        <w:right w:w="0" w:type="dxa"/>
        <w:bottom w:w="0" w:type="dxa"/>
      </w:tblCellMar>
    </w:tblPr>
  </w:style>
  <w:style w:type="paragraph" w:styleId="847" w:customStyle="1">
    <w:name w:val="正文首行缩进 2112"/>
    <w:basedOn w:val="848"/>
    <w:next w:val="850"/>
    <w:uiPriority w:val="99"/>
    <w:unhideWhenUsed/>
    <w:qFormat/>
    <w:pPr>
      <w:ind w:firstLine="420"/>
    </w:pPr>
  </w:style>
  <w:style w:type="paragraph" w:styleId="848" w:customStyle="1">
    <w:name w:val="正文文本缩进112"/>
    <w:basedOn w:val="782"/>
    <w:next w:val="849"/>
    <w:uiPriority w:val="0"/>
    <w:qFormat/>
    <w:pPr>
      <w:ind w:left="420"/>
      <w:spacing w:after="120"/>
    </w:pPr>
  </w:style>
  <w:style w:type="paragraph" w:styleId="849" w:customStyle="1">
    <w:name w:val="寄信人地址112"/>
    <w:basedOn w:val="782"/>
    <w:uiPriority w:val="99"/>
    <w:unhideWhenUsed/>
    <w:qFormat/>
    <w:rPr>
      <w:rFonts w:ascii="Arial" w:hAnsi="Arial"/>
    </w:rPr>
  </w:style>
  <w:style w:type="paragraph" w:styleId="850" w:customStyle="1">
    <w:name w:val="正文首行缩进12"/>
    <w:basedOn w:val="851"/>
    <w:next w:val="782"/>
    <w:uiPriority w:val="0"/>
    <w:qFormat/>
    <w:pPr>
      <w:ind w:firstLine="420"/>
      <w:spacing w:after="120"/>
    </w:pPr>
    <w:rPr>
      <w:rFonts w:ascii="Calibri"/>
      <w:sz w:val="26"/>
    </w:rPr>
  </w:style>
  <w:style w:type="paragraph" w:styleId="851" w:customStyle="1">
    <w:name w:val="正文文本14"/>
    <w:basedOn w:val="782"/>
    <w:next w:val="782"/>
    <w:uiPriority w:val="0"/>
    <w:qFormat/>
    <w:rPr>
      <w:rFonts w:ascii="仿宋_GB2312" w:eastAsia="仿宋_GB2312"/>
      <w:sz w:val="24"/>
    </w:rPr>
  </w:style>
  <w:style w:type="paragraph" w:styleId="852" w:customStyle="1">
    <w:name w:val="目录 712"/>
    <w:basedOn w:val="782"/>
    <w:next w:val="782"/>
    <w:uiPriority w:val="39"/>
    <w:unhideWhenUsed/>
    <w:qFormat/>
    <w:pPr>
      <w:ind w:left="1701"/>
      <w:spacing w:after="57"/>
    </w:pPr>
  </w:style>
  <w:style w:type="paragraph" w:styleId="853" w:customStyle="1">
    <w:name w:val="题注12"/>
    <w:basedOn w:val="782"/>
    <w:next w:val="782"/>
    <w:uiPriority w:val="35"/>
    <w:qFormat/>
    <w:pPr>
      <w:spacing w:line="276" w:lineRule="auto"/>
    </w:pPr>
    <w:rPr>
      <w:b/>
      <w:bCs/>
      <w:color w:val="4f81bd"/>
      <w:sz w:val="18"/>
      <w:szCs w:val="18"/>
    </w:rPr>
  </w:style>
  <w:style w:type="paragraph" w:styleId="854" w:customStyle="1">
    <w:name w:val="目录 512"/>
    <w:basedOn w:val="782"/>
    <w:next w:val="782"/>
    <w:uiPriority w:val="39"/>
    <w:unhideWhenUsed/>
    <w:qFormat/>
    <w:pPr>
      <w:ind w:left="1134"/>
      <w:spacing w:after="57"/>
    </w:pPr>
  </w:style>
  <w:style w:type="paragraph" w:styleId="855" w:customStyle="1">
    <w:name w:val="目录 312"/>
    <w:basedOn w:val="782"/>
    <w:next w:val="782"/>
    <w:uiPriority w:val="39"/>
    <w:unhideWhenUsed/>
    <w:qFormat/>
    <w:pPr>
      <w:ind w:left="567"/>
      <w:spacing w:after="57"/>
    </w:pPr>
  </w:style>
  <w:style w:type="paragraph" w:styleId="856" w:customStyle="1">
    <w:name w:val="目录 812"/>
    <w:basedOn w:val="782"/>
    <w:next w:val="782"/>
    <w:uiPriority w:val="39"/>
    <w:unhideWhenUsed/>
    <w:qFormat/>
    <w:pPr>
      <w:ind w:left="1984"/>
      <w:spacing w:after="57"/>
    </w:pPr>
  </w:style>
  <w:style w:type="paragraph" w:styleId="857" w:customStyle="1">
    <w:name w:val="正文文本缩进 211"/>
    <w:basedOn w:val="782"/>
    <w:uiPriority w:val="0"/>
    <w:qFormat/>
    <w:pPr>
      <w:ind w:firstLine="420"/>
    </w:pPr>
    <w:rPr>
      <w:color w:val="ff6600"/>
    </w:rPr>
  </w:style>
  <w:style w:type="paragraph" w:styleId="858" w:customStyle="1">
    <w:name w:val="尾注文本12"/>
    <w:basedOn w:val="782"/>
    <w:uiPriority w:val="99"/>
    <w:unhideWhenUsed/>
    <w:qFormat/>
    <w:rPr>
      <w:sz w:val="20"/>
    </w:rPr>
  </w:style>
  <w:style w:type="paragraph" w:styleId="859" w:customStyle="1">
    <w:name w:val="页脚112"/>
    <w:basedOn w:val="782"/>
    <w:uiPriority w:val="99"/>
    <w:unhideWhenUsed/>
    <w:qFormat/>
    <w:pPr>
      <w:tabs>
        <w:tab w:val="center" w:pos="7143" w:leader="none"/>
        <w:tab w:val="right" w:pos="14287" w:leader="none"/>
      </w:tabs>
    </w:pPr>
  </w:style>
  <w:style w:type="paragraph" w:styleId="860" w:customStyle="1">
    <w:name w:val="页眉12"/>
    <w:basedOn w:val="782"/>
    <w:uiPriority w:val="99"/>
    <w:unhideWhenUsed/>
    <w:qFormat/>
    <w:pPr>
      <w:tabs>
        <w:tab w:val="center" w:pos="7143" w:leader="none"/>
        <w:tab w:val="right" w:pos="14287" w:leader="none"/>
      </w:tabs>
    </w:pPr>
  </w:style>
  <w:style w:type="paragraph" w:styleId="861" w:customStyle="1">
    <w:name w:val="目录 112"/>
    <w:basedOn w:val="782"/>
    <w:next w:val="782"/>
    <w:uiPriority w:val="39"/>
    <w:unhideWhenUsed/>
    <w:qFormat/>
    <w:pPr>
      <w:spacing w:after="57"/>
    </w:pPr>
  </w:style>
  <w:style w:type="paragraph" w:styleId="862" w:customStyle="1">
    <w:name w:val="目录 412"/>
    <w:basedOn w:val="782"/>
    <w:next w:val="782"/>
    <w:uiPriority w:val="39"/>
    <w:unhideWhenUsed/>
    <w:qFormat/>
    <w:pPr>
      <w:ind w:left="850"/>
      <w:spacing w:after="57"/>
    </w:pPr>
  </w:style>
  <w:style w:type="paragraph" w:styleId="863" w:customStyle="1">
    <w:name w:val="副标题12"/>
    <w:basedOn w:val="782"/>
    <w:next w:val="782"/>
    <w:uiPriority w:val="11"/>
    <w:qFormat/>
    <w:pPr>
      <w:spacing w:before="200" w:after="200"/>
    </w:pPr>
    <w:rPr>
      <w:sz w:val="24"/>
      <w:szCs w:val="24"/>
    </w:rPr>
  </w:style>
  <w:style w:type="paragraph" w:styleId="864" w:customStyle="1">
    <w:name w:val="脚注文本12"/>
    <w:basedOn w:val="782"/>
    <w:uiPriority w:val="99"/>
    <w:unhideWhenUsed/>
    <w:qFormat/>
    <w:pPr>
      <w:spacing w:after="40"/>
    </w:pPr>
    <w:rPr>
      <w:sz w:val="18"/>
    </w:rPr>
  </w:style>
  <w:style w:type="paragraph" w:styleId="865" w:customStyle="1">
    <w:name w:val="目录 612"/>
    <w:basedOn w:val="782"/>
    <w:next w:val="782"/>
    <w:uiPriority w:val="39"/>
    <w:unhideWhenUsed/>
    <w:qFormat/>
    <w:pPr>
      <w:ind w:left="1417"/>
      <w:spacing w:after="57"/>
    </w:pPr>
  </w:style>
  <w:style w:type="paragraph" w:styleId="866" w:customStyle="1">
    <w:name w:val="图表目录12"/>
    <w:basedOn w:val="782"/>
    <w:next w:val="782"/>
    <w:uiPriority w:val="99"/>
    <w:unhideWhenUsed/>
    <w:qFormat/>
  </w:style>
  <w:style w:type="paragraph" w:styleId="867" w:customStyle="1">
    <w:name w:val="目录 212"/>
    <w:basedOn w:val="782"/>
    <w:next w:val="782"/>
    <w:uiPriority w:val="39"/>
    <w:unhideWhenUsed/>
    <w:qFormat/>
    <w:pPr>
      <w:ind w:left="283"/>
      <w:spacing w:after="57"/>
    </w:pPr>
  </w:style>
  <w:style w:type="paragraph" w:styleId="868" w:customStyle="1">
    <w:name w:val="目录 912"/>
    <w:basedOn w:val="782"/>
    <w:next w:val="782"/>
    <w:uiPriority w:val="39"/>
    <w:unhideWhenUsed/>
    <w:qFormat/>
    <w:pPr>
      <w:ind w:left="2268"/>
      <w:spacing w:after="57"/>
    </w:pPr>
  </w:style>
  <w:style w:type="paragraph" w:styleId="869" w:customStyle="1">
    <w:name w:val="普通(网站)11"/>
    <w:basedOn w:val="782"/>
    <w:uiPriority w:val="99"/>
    <w:unhideWhenUsed/>
    <w:qFormat/>
    <w:pPr>
      <w:jc w:val="left"/>
      <w:pBdr>
        <w:top w:val="none" w:color="000000" w:sz="0" w:space="0"/>
        <w:left w:val="none" w:color="000000" w:sz="0" w:space="0"/>
        <w:bottom w:val="none" w:color="000000" w:sz="0" w:space="0"/>
        <w:right w:val="none" w:color="000000" w:sz="0" w:space="0"/>
      </w:pBdr>
    </w:pPr>
    <w:rPr>
      <w:sz w:val="24"/>
    </w:rPr>
  </w:style>
  <w:style w:type="paragraph" w:styleId="870" w:customStyle="1">
    <w:name w:val="标题12"/>
    <w:basedOn w:val="782"/>
    <w:next w:val="782"/>
    <w:uiPriority w:val="10"/>
    <w:qFormat/>
    <w:pPr>
      <w:contextualSpacing/>
      <w:spacing w:before="300" w:after="200"/>
    </w:pPr>
    <w:rPr>
      <w:sz w:val="48"/>
      <w:szCs w:val="48"/>
    </w:rPr>
  </w:style>
  <w:style w:type="table" w:styleId="871" w:customStyle="1">
    <w:name w:val="网格型13"/>
    <w:uiPriority w:val="59"/>
    <w:qFormat/>
    <w:tblPr>
      <w:tblCellMar>
        <w:left w:w="0" w:type="dxa"/>
        <w:top w:w="0" w:type="dxa"/>
        <w:right w:w="0" w:type="dxa"/>
        <w:bottom w:w="0" w:type="dxa"/>
      </w:tblCellMar>
    </w:tblPr>
  </w:style>
  <w:style w:type="character" w:styleId="872" w:customStyle="1">
    <w:name w:val="要点11"/>
    <w:basedOn w:val="845"/>
    <w:uiPriority w:val="22"/>
    <w:qFormat/>
    <w:rPr>
      <w:b/>
    </w:rPr>
  </w:style>
  <w:style w:type="character" w:styleId="873" w:customStyle="1">
    <w:name w:val="尾注引用12"/>
    <w:uiPriority w:val="99"/>
    <w:unhideWhenUsed/>
    <w:qFormat/>
    <w:rPr>
      <w:vertAlign w:val="superscript"/>
    </w:rPr>
  </w:style>
  <w:style w:type="character" w:styleId="874" w:customStyle="1">
    <w:name w:val="已访问的超链接11"/>
    <w:basedOn w:val="845"/>
    <w:uiPriority w:val="99"/>
    <w:unhideWhenUsed/>
    <w:qFormat/>
    <w:rPr>
      <w:color w:val="800080"/>
      <w:u w:val="none"/>
    </w:rPr>
  </w:style>
  <w:style w:type="character" w:styleId="875" w:customStyle="1">
    <w:name w:val="HTML 定义11"/>
    <w:basedOn w:val="845"/>
    <w:uiPriority w:val="99"/>
    <w:unhideWhenUsed/>
    <w:qFormat/>
  </w:style>
  <w:style w:type="character" w:styleId="876" w:customStyle="1">
    <w:name w:val="HTML 打字机1"/>
    <w:basedOn w:val="845"/>
    <w:uiPriority w:val="99"/>
    <w:unhideWhenUsed/>
    <w:qFormat/>
    <w:rPr>
      <w:rFonts w:ascii="monospace" w:hAnsi="monospace" w:eastAsia="monospace" w:cs="monospace"/>
      <w:sz w:val="20"/>
    </w:rPr>
  </w:style>
  <w:style w:type="character" w:styleId="877" w:customStyle="1">
    <w:name w:val="HTML 缩写1"/>
    <w:basedOn w:val="845"/>
    <w:uiPriority w:val="99"/>
    <w:unhideWhenUsed/>
    <w:qFormat/>
  </w:style>
  <w:style w:type="character" w:styleId="878" w:customStyle="1">
    <w:name w:val="HTML 变量1"/>
    <w:basedOn w:val="845"/>
    <w:uiPriority w:val="99"/>
    <w:unhideWhenUsed/>
    <w:qFormat/>
  </w:style>
  <w:style w:type="character" w:styleId="879" w:customStyle="1">
    <w:name w:val="超链接12"/>
    <w:basedOn w:val="845"/>
    <w:uiPriority w:val="99"/>
    <w:unhideWhenUsed/>
    <w:qFormat/>
    <w:rPr>
      <w:color w:val="0000ff"/>
      <w:u w:val="none"/>
    </w:rPr>
  </w:style>
  <w:style w:type="character" w:styleId="880" w:customStyle="1">
    <w:name w:val="HTML 代码11"/>
    <w:basedOn w:val="845"/>
    <w:uiPriority w:val="99"/>
    <w:unhideWhenUsed/>
    <w:qFormat/>
    <w:rPr>
      <w:rFonts w:ascii="monospace" w:hAnsi="monospace" w:eastAsia="monospace" w:cs="monospace"/>
      <w:sz w:val="20"/>
    </w:rPr>
  </w:style>
  <w:style w:type="character" w:styleId="881" w:customStyle="1">
    <w:name w:val="HTML 引文11"/>
    <w:basedOn w:val="845"/>
    <w:uiPriority w:val="99"/>
    <w:unhideWhenUsed/>
    <w:qFormat/>
  </w:style>
  <w:style w:type="character" w:styleId="882" w:customStyle="1">
    <w:name w:val="脚注引用12"/>
    <w:uiPriority w:val="99"/>
    <w:unhideWhenUsed/>
    <w:qFormat/>
    <w:rPr>
      <w:vertAlign w:val="superscript"/>
    </w:rPr>
  </w:style>
  <w:style w:type="character" w:styleId="883" w:customStyle="1">
    <w:name w:val="HTML 键盘11"/>
    <w:basedOn w:val="845"/>
    <w:uiPriority w:val="99"/>
    <w:unhideWhenUsed/>
    <w:qFormat/>
    <w:rPr>
      <w:rFonts w:ascii="monospace" w:hAnsi="monospace" w:eastAsia="monospace" w:cs="monospace"/>
      <w:sz w:val="20"/>
    </w:rPr>
  </w:style>
  <w:style w:type="character" w:styleId="884" w:customStyle="1">
    <w:name w:val="HTML 样本11"/>
    <w:basedOn w:val="845"/>
    <w:uiPriority w:val="99"/>
    <w:unhideWhenUsed/>
    <w:qFormat/>
    <w:rPr>
      <w:rFonts w:ascii="monospace" w:hAnsi="monospace" w:eastAsia="monospace" w:cs="monospace"/>
    </w:rPr>
  </w:style>
  <w:style w:type="paragraph" w:styleId="885" w:customStyle="1">
    <w:name w:val="正文文本13"/>
    <w:basedOn w:val="782"/>
    <w:next w:val="782"/>
    <w:uiPriority w:val="0"/>
    <w:qFormat/>
    <w:rPr>
      <w:rFonts w:ascii="仿宋_GB2312" w:eastAsia="仿宋_GB2312"/>
      <w:sz w:val="24"/>
    </w:rPr>
  </w:style>
  <w:style w:type="paragraph" w:styleId="886" w:customStyle="1">
    <w:name w:val="正文首行缩进 21"/>
    <w:basedOn w:val="887"/>
    <w:uiPriority w:val="0"/>
    <w:unhideWhenUsed/>
    <w:qFormat/>
    <w:pPr>
      <w:ind w:firstLine="420"/>
    </w:pPr>
  </w:style>
  <w:style w:type="paragraph" w:styleId="887" w:customStyle="1">
    <w:name w:val="正文文本缩进1"/>
    <w:basedOn w:val="782"/>
    <w:next w:val="888"/>
    <w:uiPriority w:val="0"/>
    <w:unhideWhenUsed/>
    <w:qFormat/>
    <w:pPr>
      <w:ind w:left="420"/>
      <w:spacing w:after="120"/>
    </w:pPr>
    <w:rPr>
      <w:lang w:eastAsia="en-US"/>
    </w:rPr>
  </w:style>
  <w:style w:type="paragraph" w:styleId="888" w:customStyle="1">
    <w:name w:val="寄信人地址1"/>
    <w:basedOn w:val="782"/>
    <w:uiPriority w:val="99"/>
    <w:unhideWhenUsed/>
    <w:qFormat/>
    <w:rPr>
      <w:rFonts w:ascii="Arial" w:hAnsi="Arial"/>
    </w:rPr>
  </w:style>
  <w:style w:type="character" w:styleId="889" w:customStyle="1">
    <w:name w:val="NormalCharacter11"/>
    <w:uiPriority w:val="0"/>
    <w:qFormat/>
  </w:style>
  <w:style w:type="character" w:styleId="890" w:customStyle="1">
    <w:name w:val="默认段落字体11"/>
    <w:uiPriority w:val="1"/>
    <w:unhideWhenUsed/>
    <w:qFormat/>
  </w:style>
  <w:style w:type="table" w:styleId="891" w:customStyle="1">
    <w:name w:val="普通表格11"/>
    <w:uiPriority w:val="99"/>
    <w:unhideWhenUsed/>
    <w:qFormat/>
    <w:tblPr>
      <w:tblCellMar>
        <w:left w:w="0" w:type="dxa"/>
        <w:top w:w="0" w:type="dxa"/>
        <w:right w:w="0" w:type="dxa"/>
        <w:bottom w:w="0" w:type="dxa"/>
      </w:tblCellMar>
    </w:tblPr>
  </w:style>
  <w:style w:type="paragraph" w:styleId="892" w:customStyle="1">
    <w:name w:val="正文文本12"/>
    <w:basedOn w:val="782"/>
    <w:next w:val="782"/>
    <w:uiPriority w:val="0"/>
    <w:qFormat/>
    <w:rPr>
      <w:rFonts w:ascii="仿宋_GB2312" w:eastAsia="仿宋_GB2312"/>
      <w:sz w:val="24"/>
    </w:rPr>
  </w:style>
  <w:style w:type="paragraph" w:styleId="893" w:customStyle="1">
    <w:name w:val="目录 711"/>
    <w:basedOn w:val="782"/>
    <w:next w:val="782"/>
    <w:uiPriority w:val="39"/>
    <w:unhideWhenUsed/>
    <w:qFormat/>
    <w:pPr>
      <w:ind w:left="1701"/>
      <w:spacing w:after="57"/>
    </w:pPr>
  </w:style>
  <w:style w:type="paragraph" w:styleId="894" w:customStyle="1">
    <w:name w:val="批注文字11"/>
    <w:basedOn w:val="782"/>
    <w:uiPriority w:val="99"/>
    <w:unhideWhenUsed/>
    <w:qFormat/>
    <w:pPr>
      <w:jc w:val="left"/>
    </w:pPr>
  </w:style>
  <w:style w:type="paragraph" w:styleId="895" w:customStyle="1">
    <w:name w:val="正文文本缩进111"/>
    <w:basedOn w:val="782"/>
    <w:next w:val="896"/>
    <w:uiPriority w:val="99"/>
    <w:qFormat/>
    <w:pPr>
      <w:ind w:left="420"/>
      <w:spacing w:after="120"/>
    </w:pPr>
  </w:style>
  <w:style w:type="paragraph" w:styleId="896" w:customStyle="1">
    <w:name w:val="寄信人地址111"/>
    <w:basedOn w:val="782"/>
    <w:uiPriority w:val="99"/>
    <w:qFormat/>
    <w:rPr>
      <w:rFonts w:ascii="Arial" w:hAnsi="Arial" w:cs="Arial"/>
    </w:rPr>
  </w:style>
  <w:style w:type="paragraph" w:styleId="897" w:customStyle="1">
    <w:name w:val="目录 511"/>
    <w:basedOn w:val="782"/>
    <w:next w:val="782"/>
    <w:uiPriority w:val="39"/>
    <w:unhideWhenUsed/>
    <w:qFormat/>
    <w:pPr>
      <w:ind w:left="1134"/>
      <w:spacing w:after="57"/>
    </w:pPr>
  </w:style>
  <w:style w:type="paragraph" w:styleId="898" w:customStyle="1">
    <w:name w:val="目录 311"/>
    <w:basedOn w:val="782"/>
    <w:next w:val="782"/>
    <w:uiPriority w:val="39"/>
    <w:unhideWhenUsed/>
    <w:qFormat/>
    <w:pPr>
      <w:ind w:left="567"/>
      <w:spacing w:after="57"/>
    </w:pPr>
  </w:style>
  <w:style w:type="paragraph" w:styleId="899" w:customStyle="1">
    <w:name w:val="目录 811"/>
    <w:basedOn w:val="782"/>
    <w:next w:val="782"/>
    <w:uiPriority w:val="39"/>
    <w:unhideWhenUsed/>
    <w:qFormat/>
    <w:pPr>
      <w:ind w:left="1984"/>
      <w:spacing w:after="57"/>
    </w:pPr>
  </w:style>
  <w:style w:type="paragraph" w:styleId="900" w:customStyle="1">
    <w:name w:val="尾注文本11"/>
    <w:basedOn w:val="782"/>
    <w:uiPriority w:val="99"/>
    <w:unhideWhenUsed/>
    <w:qFormat/>
    <w:rPr>
      <w:sz w:val="20"/>
    </w:rPr>
  </w:style>
  <w:style w:type="paragraph" w:styleId="901" w:customStyle="1">
    <w:name w:val="目录 111"/>
    <w:basedOn w:val="782"/>
    <w:next w:val="782"/>
    <w:uiPriority w:val="39"/>
    <w:unhideWhenUsed/>
    <w:qFormat/>
    <w:pPr>
      <w:spacing w:after="57"/>
    </w:pPr>
  </w:style>
  <w:style w:type="paragraph" w:styleId="902" w:customStyle="1">
    <w:name w:val="目录 411"/>
    <w:basedOn w:val="782"/>
    <w:next w:val="782"/>
    <w:uiPriority w:val="39"/>
    <w:unhideWhenUsed/>
    <w:qFormat/>
    <w:pPr>
      <w:ind w:left="850"/>
      <w:spacing w:after="57"/>
    </w:pPr>
  </w:style>
  <w:style w:type="paragraph" w:styleId="903" w:customStyle="1">
    <w:name w:val="副标题11"/>
    <w:basedOn w:val="782"/>
    <w:next w:val="782"/>
    <w:uiPriority w:val="11"/>
    <w:qFormat/>
    <w:pPr>
      <w:spacing w:before="200" w:after="200"/>
    </w:pPr>
    <w:rPr>
      <w:sz w:val="24"/>
      <w:szCs w:val="24"/>
    </w:rPr>
  </w:style>
  <w:style w:type="paragraph" w:styleId="904" w:customStyle="1">
    <w:name w:val="脚注文本11"/>
    <w:basedOn w:val="782"/>
    <w:uiPriority w:val="99"/>
    <w:unhideWhenUsed/>
    <w:qFormat/>
    <w:pPr>
      <w:spacing w:after="40"/>
    </w:pPr>
    <w:rPr>
      <w:sz w:val="18"/>
    </w:rPr>
  </w:style>
  <w:style w:type="paragraph" w:styleId="905" w:customStyle="1">
    <w:name w:val="目录 611"/>
    <w:basedOn w:val="782"/>
    <w:next w:val="782"/>
    <w:uiPriority w:val="39"/>
    <w:unhideWhenUsed/>
    <w:qFormat/>
    <w:pPr>
      <w:ind w:left="1417"/>
      <w:spacing w:after="57"/>
    </w:pPr>
  </w:style>
  <w:style w:type="paragraph" w:styleId="906" w:customStyle="1">
    <w:name w:val="正文文本缩进 311"/>
    <w:basedOn w:val="782"/>
    <w:uiPriority w:val="0"/>
    <w:qFormat/>
    <w:pPr>
      <w:ind w:firstLine="539"/>
      <w:spacing w:line="520" w:lineRule="exact"/>
    </w:pPr>
    <w:rPr>
      <w:rFonts w:ascii="宋体"/>
      <w:b/>
      <w:spacing w:val="6"/>
      <w:sz w:val="28"/>
    </w:rPr>
  </w:style>
  <w:style w:type="paragraph" w:styleId="907" w:customStyle="1">
    <w:name w:val="图表目录11"/>
    <w:basedOn w:val="782"/>
    <w:next w:val="782"/>
    <w:uiPriority w:val="99"/>
    <w:unhideWhenUsed/>
    <w:qFormat/>
  </w:style>
  <w:style w:type="paragraph" w:styleId="908" w:customStyle="1">
    <w:name w:val="目录 211"/>
    <w:basedOn w:val="782"/>
    <w:next w:val="782"/>
    <w:uiPriority w:val="39"/>
    <w:unhideWhenUsed/>
    <w:qFormat/>
    <w:pPr>
      <w:ind w:left="283"/>
      <w:spacing w:after="57"/>
    </w:pPr>
  </w:style>
  <w:style w:type="paragraph" w:styleId="909" w:customStyle="1">
    <w:name w:val="目录 911"/>
    <w:basedOn w:val="782"/>
    <w:next w:val="782"/>
    <w:uiPriority w:val="39"/>
    <w:unhideWhenUsed/>
    <w:qFormat/>
    <w:pPr>
      <w:ind w:left="2268"/>
      <w:spacing w:after="57"/>
    </w:pPr>
  </w:style>
  <w:style w:type="paragraph" w:styleId="910" w:customStyle="1">
    <w:name w:val="标题11"/>
    <w:basedOn w:val="782"/>
    <w:next w:val="782"/>
    <w:uiPriority w:val="10"/>
    <w:qFormat/>
    <w:pPr>
      <w:contextualSpacing/>
      <w:spacing w:before="300" w:after="200"/>
    </w:pPr>
    <w:rPr>
      <w:sz w:val="48"/>
      <w:szCs w:val="48"/>
    </w:rPr>
  </w:style>
  <w:style w:type="paragraph" w:styleId="911" w:customStyle="1">
    <w:name w:val="正文首行缩进 2111"/>
    <w:basedOn w:val="895"/>
    <w:uiPriority w:val="99"/>
    <w:qFormat/>
    <w:pPr>
      <w:ind w:firstLine="420"/>
    </w:pPr>
    <w:rPr>
      <w:sz w:val="20"/>
    </w:rPr>
  </w:style>
  <w:style w:type="table" w:styleId="912" w:customStyle="1">
    <w:name w:val="网格型12"/>
    <w:uiPriority w:val="59"/>
    <w:qFormat/>
    <w:tblPr>
      <w:tblCellMar>
        <w:left w:w="0" w:type="dxa"/>
        <w:top w:w="0" w:type="dxa"/>
        <w:right w:w="0" w:type="dxa"/>
        <w:bottom w:w="0" w:type="dxa"/>
      </w:tblCellMar>
    </w:tblPr>
  </w:style>
  <w:style w:type="character" w:styleId="913" w:customStyle="1">
    <w:name w:val="尾注引用11"/>
    <w:uiPriority w:val="99"/>
    <w:unhideWhenUsed/>
    <w:qFormat/>
    <w:rPr>
      <w:vertAlign w:val="superscript"/>
    </w:rPr>
  </w:style>
  <w:style w:type="character" w:styleId="914" w:customStyle="1">
    <w:name w:val="超链接11"/>
    <w:uiPriority w:val="99"/>
    <w:unhideWhenUsed/>
    <w:qFormat/>
    <w:rPr>
      <w:color w:val="0000ff"/>
      <w:u w:val="single"/>
    </w:rPr>
  </w:style>
  <w:style w:type="character" w:styleId="915" w:customStyle="1">
    <w:name w:val="脚注引用11"/>
    <w:uiPriority w:val="99"/>
    <w:unhideWhenUsed/>
    <w:qFormat/>
    <w:rPr>
      <w:vertAlign w:val="superscript"/>
    </w:rPr>
  </w:style>
  <w:style w:type="paragraph" w:styleId="916" w:customStyle="1">
    <w:name w:val="*正文"/>
    <w:basedOn w:val="782"/>
    <w:uiPriority w:val="99"/>
    <w:qFormat/>
    <w:pPr>
      <w:ind w:firstLine="482"/>
      <w:spacing w:line="360" w:lineRule="auto"/>
    </w:pPr>
    <w:rPr>
      <w:rFonts w:eastAsia="仿宋_GB2312"/>
      <w:sz w:val="28"/>
    </w:rPr>
  </w:style>
  <w:style w:type="paragraph" w:styleId="917" w:customStyle="1">
    <w:name w:val="正文缩进1"/>
    <w:basedOn w:val="782"/>
    <w:link w:val="918"/>
    <w:uiPriority w:val="0"/>
    <w:qFormat/>
    <w:pPr>
      <w:ind w:firstLine="420"/>
      <w:jc w:val="left"/>
    </w:pPr>
    <w:rPr>
      <w:sz w:val="24"/>
    </w:rPr>
  </w:style>
  <w:style w:type="character" w:styleId="918" w:customStyle="1">
    <w:name w:val="正文缩进 Char"/>
    <w:link w:val="917"/>
    <w:uiPriority w:val="0"/>
    <w:qFormat/>
    <w:rPr>
      <w:rFonts w:eastAsia="楷体_GB2312"/>
      <w:sz w:val="24"/>
      <w:lang w:val="en-US" w:eastAsia="zh-CN" w:bidi="ar-SA"/>
    </w:rPr>
  </w:style>
  <w:style w:type="paragraph" w:styleId="919" w:customStyle="1">
    <w:name w:val="Header1"/>
    <w:basedOn w:val="782"/>
    <w:uiPriority w:val="99"/>
    <w:unhideWhenUsed/>
    <w:qFormat/>
    <w:pPr>
      <w:tabs>
        <w:tab w:val="center" w:pos="7143" w:leader="none"/>
        <w:tab w:val="right" w:pos="14287" w:leader="none"/>
      </w:tabs>
    </w:pPr>
  </w:style>
  <w:style w:type="paragraph" w:styleId="920" w:customStyle="1">
    <w:name w:val="Footer1"/>
    <w:basedOn w:val="782"/>
    <w:uiPriority w:val="99"/>
    <w:unhideWhenUsed/>
    <w:qFormat/>
    <w:pPr>
      <w:tabs>
        <w:tab w:val="center" w:pos="7143" w:leader="none"/>
        <w:tab w:val="right" w:pos="14287" w:leader="none"/>
      </w:tabs>
    </w:pPr>
  </w:style>
  <w:style w:type="paragraph" w:styleId="921" w:customStyle="1">
    <w:name w:val="Caption1"/>
    <w:basedOn w:val="782"/>
    <w:next w:val="782"/>
    <w:uiPriority w:val="35"/>
    <w:unhideWhenUsed/>
    <w:qFormat/>
    <w:pPr>
      <w:spacing w:line="276" w:lineRule="auto"/>
    </w:pPr>
    <w:rPr>
      <w:b/>
      <w:bCs/>
      <w:color w:val="4f81bd"/>
      <w:sz w:val="18"/>
      <w:szCs w:val="18"/>
    </w:rPr>
  </w:style>
  <w:style w:type="paragraph" w:styleId="922" w:customStyle="1">
    <w:name w:val="标题 111"/>
    <w:basedOn w:val="782"/>
    <w:next w:val="782"/>
    <w:link w:val="923"/>
    <w:uiPriority w:val="0"/>
    <w:qFormat/>
    <w:pPr>
      <w:keepLines/>
      <w:keepNext/>
      <w:spacing w:before="340" w:after="330" w:line="578" w:lineRule="auto"/>
      <w:outlineLvl w:val="0"/>
    </w:pPr>
    <w:rPr>
      <w:b/>
      <w:sz w:val="44"/>
    </w:rPr>
  </w:style>
  <w:style w:type="character" w:styleId="923" w:customStyle="1">
    <w:name w:val="标题 1 Char"/>
    <w:link w:val="922"/>
    <w:uiPriority w:val="0"/>
    <w:qFormat/>
    <w:rPr>
      <w:rFonts w:eastAsia="楷体_GB2312"/>
      <w:b/>
      <w:sz w:val="44"/>
    </w:rPr>
  </w:style>
  <w:style w:type="paragraph" w:styleId="924" w:customStyle="1">
    <w:name w:val="标题 211"/>
    <w:basedOn w:val="782"/>
    <w:next w:val="782"/>
    <w:link w:val="925"/>
    <w:uiPriority w:val="0"/>
    <w:qFormat/>
    <w:pPr>
      <w:jc w:val="left"/>
      <w:keepLines/>
      <w:keepNext/>
      <w:outlineLvl w:val="1"/>
    </w:pPr>
    <w:rPr>
      <w:rFonts w:ascii="宋体" w:hAnsi="宋体"/>
      <w:b/>
    </w:rPr>
  </w:style>
  <w:style w:type="character" w:styleId="925" w:customStyle="1">
    <w:name w:val="标题 2 Char"/>
    <w:link w:val="924"/>
    <w:uiPriority w:val="0"/>
    <w:qFormat/>
    <w:rPr>
      <w:rFonts w:ascii="宋体" w:hAnsi="宋体" w:eastAsia="楷体_GB2312"/>
      <w:b/>
      <w:sz w:val="26"/>
      <w:lang w:val="en-US" w:eastAsia="zh-CN" w:bidi="ar-SA"/>
    </w:rPr>
  </w:style>
  <w:style w:type="paragraph" w:styleId="926" w:customStyle="1">
    <w:name w:val="标题 311"/>
    <w:basedOn w:val="782"/>
    <w:next w:val="782"/>
    <w:link w:val="927"/>
    <w:uiPriority w:val="99"/>
    <w:qFormat/>
    <w:pPr>
      <w:jc w:val="left"/>
      <w:keepLines/>
      <w:keepNext/>
      <w:outlineLvl w:val="2"/>
    </w:pPr>
    <w:rPr>
      <w:b/>
    </w:rPr>
  </w:style>
  <w:style w:type="character" w:styleId="927" w:customStyle="1">
    <w:name w:val="标题 3 Char"/>
    <w:link w:val="926"/>
    <w:uiPriority w:val="99"/>
    <w:qFormat/>
    <w:rPr>
      <w:rFonts w:eastAsia="楷体_GB2312"/>
      <w:b/>
      <w:sz w:val="26"/>
    </w:rPr>
  </w:style>
  <w:style w:type="paragraph" w:styleId="928" w:customStyle="1">
    <w:name w:val="标题 411"/>
    <w:basedOn w:val="782"/>
    <w:next w:val="782"/>
    <w:link w:val="929"/>
    <w:uiPriority w:val="0"/>
    <w:qFormat/>
    <w:pPr>
      <w:ind w:firstLine="200"/>
      <w:keepLines/>
      <w:keepNext/>
      <w:spacing w:before="280" w:after="290" w:line="372" w:lineRule="auto"/>
      <w:outlineLvl w:val="3"/>
    </w:pPr>
    <w:rPr>
      <w:rFonts w:ascii="Arial" w:hAnsi="Arial" w:eastAsia="黑体"/>
      <w:b/>
      <w:sz w:val="28"/>
    </w:rPr>
  </w:style>
  <w:style w:type="character" w:styleId="929" w:customStyle="1">
    <w:name w:val="标题 4 Char"/>
    <w:link w:val="928"/>
    <w:uiPriority w:val="0"/>
    <w:qFormat/>
    <w:rPr>
      <w:rFonts w:ascii="Arial" w:hAnsi="Arial" w:eastAsia="黑体"/>
      <w:b/>
      <w:sz w:val="28"/>
    </w:rPr>
  </w:style>
  <w:style w:type="paragraph" w:styleId="930" w:customStyle="1">
    <w:name w:val="标题 511"/>
    <w:basedOn w:val="782"/>
    <w:next w:val="917"/>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31" w:customStyle="1">
    <w:name w:val="标题 611"/>
    <w:basedOn w:val="782"/>
    <w:next w:val="917"/>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32" w:customStyle="1">
    <w:name w:val="标题 711"/>
    <w:basedOn w:val="782"/>
    <w:next w:val="917"/>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33" w:customStyle="1">
    <w:name w:val="标题 811"/>
    <w:basedOn w:val="782"/>
    <w:next w:val="917"/>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34" w:customStyle="1">
    <w:name w:val="标题 911"/>
    <w:basedOn w:val="782"/>
    <w:next w:val="917"/>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35" w:customStyle="1">
    <w:name w:val="默认段落字体1"/>
    <w:uiPriority w:val="1"/>
    <w:unhideWhenUsed/>
    <w:qFormat/>
  </w:style>
  <w:style w:type="table" w:styleId="936" w:customStyle="1">
    <w:name w:val="普通表格1"/>
    <w:uiPriority w:val="99"/>
    <w:unhideWhenUsed/>
    <w:qFormat/>
    <w:tblPr>
      <w:tblCellMar>
        <w:left w:w="0" w:type="dxa"/>
        <w:top w:w="0" w:type="dxa"/>
        <w:right w:w="0" w:type="dxa"/>
        <w:bottom w:w="0" w:type="dxa"/>
      </w:tblCellMar>
    </w:tblPr>
  </w:style>
  <w:style w:type="paragraph" w:styleId="937" w:customStyle="1">
    <w:name w:val="目录 71"/>
    <w:basedOn w:val="782"/>
    <w:next w:val="782"/>
    <w:uiPriority w:val="0"/>
    <w:qFormat/>
    <w:pPr>
      <w:ind w:left="2520"/>
    </w:pPr>
  </w:style>
  <w:style w:type="paragraph" w:styleId="938" w:customStyle="1">
    <w:name w:val="索引 81"/>
    <w:basedOn w:val="782"/>
    <w:next w:val="782"/>
    <w:uiPriority w:val="0"/>
    <w:qFormat/>
    <w:pPr>
      <w:ind w:left="2940"/>
    </w:pPr>
  </w:style>
  <w:style w:type="paragraph" w:styleId="939" w:customStyle="1">
    <w:name w:val="题注11"/>
    <w:basedOn w:val="782"/>
    <w:next w:val="782"/>
    <w:uiPriority w:val="35"/>
    <w:unhideWhenUsed/>
    <w:qFormat/>
    <w:pPr>
      <w:spacing w:line="276" w:lineRule="auto"/>
    </w:pPr>
    <w:rPr>
      <w:b/>
      <w:bCs/>
      <w:color w:val="4f81bd"/>
      <w:sz w:val="18"/>
      <w:szCs w:val="18"/>
    </w:rPr>
  </w:style>
  <w:style w:type="paragraph" w:styleId="940" w:customStyle="1">
    <w:name w:val="索引 51"/>
    <w:basedOn w:val="782"/>
    <w:next w:val="782"/>
    <w:uiPriority w:val="0"/>
    <w:qFormat/>
    <w:pPr>
      <w:ind w:left="1680"/>
    </w:pPr>
  </w:style>
  <w:style w:type="paragraph" w:styleId="941" w:customStyle="1">
    <w:name w:val="文档结构图1"/>
    <w:basedOn w:val="782"/>
    <w:link w:val="942"/>
    <w:uiPriority w:val="0"/>
    <w:qFormat/>
    <w:pPr>
      <w:shd w:val="clear" w:color="auto" w:fill="000080"/>
    </w:pPr>
  </w:style>
  <w:style w:type="character" w:styleId="942" w:customStyle="1">
    <w:name w:val="文档结构图 Char"/>
    <w:link w:val="941"/>
    <w:uiPriority w:val="0"/>
    <w:qFormat/>
    <w:rPr>
      <w:rFonts w:eastAsia="楷体_GB2312"/>
      <w:sz w:val="26"/>
      <w:shd w:val="clear" w:color="auto" w:fill="000080"/>
    </w:rPr>
  </w:style>
  <w:style w:type="paragraph" w:styleId="943" w:customStyle="1">
    <w:name w:val="批注文字1"/>
    <w:basedOn w:val="782"/>
    <w:link w:val="944"/>
    <w:uiPriority w:val="0"/>
    <w:qFormat/>
    <w:pPr>
      <w:jc w:val="left"/>
    </w:pPr>
  </w:style>
  <w:style w:type="character" w:styleId="944" w:customStyle="1">
    <w:name w:val="批注文字 Char"/>
    <w:link w:val="943"/>
    <w:uiPriority w:val="0"/>
    <w:qFormat/>
    <w:rPr>
      <w:rFonts w:eastAsia="楷体_GB2312"/>
      <w:sz w:val="26"/>
    </w:rPr>
  </w:style>
  <w:style w:type="paragraph" w:styleId="945" w:customStyle="1">
    <w:name w:val="索引 61"/>
    <w:basedOn w:val="782"/>
    <w:next w:val="782"/>
    <w:uiPriority w:val="0"/>
    <w:qFormat/>
    <w:pPr>
      <w:ind w:left="2100"/>
    </w:pPr>
  </w:style>
  <w:style w:type="paragraph" w:styleId="946" w:customStyle="1">
    <w:name w:val="正文文本11"/>
    <w:basedOn w:val="782"/>
    <w:next w:val="782"/>
    <w:link w:val="947"/>
    <w:uiPriority w:val="0"/>
    <w:qFormat/>
    <w:pPr>
      <w:spacing w:line="400" w:lineRule="exact"/>
    </w:pPr>
    <w:rPr>
      <w:rFonts w:ascii="楷体_GB2312"/>
      <w:sz w:val="28"/>
    </w:rPr>
  </w:style>
  <w:style w:type="character" w:styleId="947" w:customStyle="1">
    <w:name w:val="正文文本 Char"/>
    <w:link w:val="946"/>
    <w:uiPriority w:val="0"/>
    <w:qFormat/>
    <w:rPr>
      <w:rFonts w:ascii="楷体_GB2312" w:eastAsia="楷体_GB2312"/>
      <w:sz w:val="28"/>
    </w:rPr>
  </w:style>
  <w:style w:type="paragraph" w:styleId="948" w:customStyle="1">
    <w:name w:val="正文文本缩进11"/>
    <w:basedOn w:val="782"/>
    <w:next w:val="949"/>
    <w:link w:val="950"/>
    <w:uiPriority w:val="0"/>
    <w:qFormat/>
    <w:pPr>
      <w:ind w:left="570"/>
      <w:spacing w:line="520" w:lineRule="exact"/>
    </w:pPr>
    <w:rPr>
      <w:rFonts w:hint="eastAsia" w:ascii="楷体_GB2312"/>
    </w:rPr>
  </w:style>
  <w:style w:type="paragraph" w:styleId="949" w:customStyle="1">
    <w:name w:val="寄信人地址11"/>
    <w:basedOn w:val="782"/>
    <w:uiPriority w:val="99"/>
    <w:unhideWhenUsed/>
    <w:qFormat/>
    <w:rPr>
      <w:rFonts w:ascii="Arial" w:hAnsi="Arial"/>
    </w:rPr>
  </w:style>
  <w:style w:type="character" w:styleId="950" w:customStyle="1">
    <w:name w:val="正文文本缩进 Char"/>
    <w:link w:val="948"/>
    <w:uiPriority w:val="0"/>
    <w:qFormat/>
    <w:rPr>
      <w:rFonts w:hint="eastAsia" w:ascii="楷体_GB2312" w:eastAsia="楷体_GB2312" w:cs="楷体_GB2312"/>
      <w:sz w:val="26"/>
    </w:rPr>
  </w:style>
  <w:style w:type="paragraph" w:styleId="951" w:customStyle="1">
    <w:name w:val="索引 41"/>
    <w:basedOn w:val="782"/>
    <w:next w:val="782"/>
    <w:uiPriority w:val="0"/>
    <w:qFormat/>
    <w:pPr>
      <w:ind w:left="1260"/>
    </w:pPr>
  </w:style>
  <w:style w:type="paragraph" w:styleId="952" w:customStyle="1">
    <w:name w:val="目录 51"/>
    <w:basedOn w:val="782"/>
    <w:next w:val="782"/>
    <w:uiPriority w:val="0"/>
    <w:qFormat/>
    <w:pPr>
      <w:ind w:left="1680"/>
    </w:pPr>
  </w:style>
  <w:style w:type="paragraph" w:styleId="953" w:customStyle="1">
    <w:name w:val="目录 31"/>
    <w:basedOn w:val="782"/>
    <w:next w:val="782"/>
    <w:link w:val="954"/>
    <w:uiPriority w:val="0"/>
    <w:qFormat/>
    <w:pPr>
      <w:ind w:left="840"/>
    </w:pPr>
  </w:style>
  <w:style w:type="character" w:styleId="954" w:customStyle="1">
    <w:name w:val="目录 3 Char"/>
    <w:link w:val="953"/>
    <w:uiPriority w:val="0"/>
    <w:qFormat/>
    <w:rPr>
      <w:rFonts w:eastAsia="楷体_GB2312"/>
      <w:sz w:val="26"/>
    </w:rPr>
  </w:style>
  <w:style w:type="paragraph" w:styleId="955" w:customStyle="1">
    <w:name w:val="纯文本11"/>
    <w:basedOn w:val="782"/>
    <w:link w:val="956"/>
    <w:uiPriority w:val="0"/>
    <w:qFormat/>
    <w:rPr>
      <w:rFonts w:ascii="宋体" w:hAnsi="Courier New"/>
    </w:rPr>
  </w:style>
  <w:style w:type="character" w:styleId="956" w:customStyle="1">
    <w:name w:val="纯文本 Char"/>
    <w:link w:val="955"/>
    <w:uiPriority w:val="0"/>
    <w:qFormat/>
    <w:rPr>
      <w:rFonts w:ascii="宋体" w:hAnsi="Courier New" w:eastAsia="楷体_GB2312"/>
      <w:sz w:val="26"/>
      <w:lang w:val="en-US" w:eastAsia="zh-CN" w:bidi="ar-SA"/>
    </w:rPr>
  </w:style>
  <w:style w:type="paragraph" w:styleId="957" w:customStyle="1">
    <w:name w:val="目录 81"/>
    <w:basedOn w:val="782"/>
    <w:next w:val="782"/>
    <w:uiPriority w:val="0"/>
    <w:qFormat/>
    <w:pPr>
      <w:ind w:left="2940"/>
    </w:pPr>
  </w:style>
  <w:style w:type="paragraph" w:styleId="958" w:customStyle="1">
    <w:name w:val="索引 31"/>
    <w:basedOn w:val="782"/>
    <w:next w:val="782"/>
    <w:uiPriority w:val="0"/>
    <w:qFormat/>
    <w:pPr>
      <w:ind w:left="840"/>
    </w:pPr>
  </w:style>
  <w:style w:type="paragraph" w:styleId="959" w:customStyle="1">
    <w:name w:val="日期1"/>
    <w:basedOn w:val="782"/>
    <w:next w:val="782"/>
    <w:link w:val="960"/>
    <w:uiPriority w:val="0"/>
    <w:qFormat/>
    <w:rPr>
      <w:rFonts w:ascii="宋体" w:hAnsi="宋体"/>
      <w:sz w:val="24"/>
    </w:rPr>
  </w:style>
  <w:style w:type="character" w:styleId="960" w:customStyle="1">
    <w:name w:val="日期 Char"/>
    <w:link w:val="959"/>
    <w:uiPriority w:val="0"/>
    <w:qFormat/>
    <w:rPr>
      <w:rFonts w:ascii="宋体" w:hAnsi="宋体" w:eastAsia="楷体_GB2312"/>
      <w:sz w:val="24"/>
    </w:rPr>
  </w:style>
  <w:style w:type="paragraph" w:styleId="961" w:customStyle="1">
    <w:name w:val="正文文本缩进 21"/>
    <w:basedOn w:val="782"/>
    <w:uiPriority w:val="0"/>
    <w:qFormat/>
    <w:pPr>
      <w:ind w:firstLine="502"/>
      <w:spacing w:line="360" w:lineRule="auto"/>
      <w:tabs>
        <w:tab w:val="left" w:pos="0" w:leader="none"/>
      </w:tabs>
    </w:pPr>
    <w:rPr>
      <w:rFonts w:ascii="宋体" w:eastAsia="宋体"/>
      <w:b/>
      <w:bCs/>
      <w:sz w:val="24"/>
    </w:rPr>
  </w:style>
  <w:style w:type="paragraph" w:styleId="962" w:customStyle="1">
    <w:name w:val="尾注文本1"/>
    <w:basedOn w:val="782"/>
    <w:link w:val="963"/>
    <w:uiPriority w:val="99"/>
    <w:unhideWhenUsed/>
    <w:qFormat/>
    <w:rPr>
      <w:rFonts w:eastAsia="宋体"/>
      <w:sz w:val="20"/>
    </w:rPr>
  </w:style>
  <w:style w:type="character" w:styleId="963" w:customStyle="1">
    <w:name w:val="尾注文本 Char"/>
    <w:link w:val="962"/>
    <w:uiPriority w:val="99"/>
    <w:qFormat/>
    <w:rPr>
      <w:sz w:val="20"/>
    </w:rPr>
  </w:style>
  <w:style w:type="paragraph" w:styleId="964" w:customStyle="1">
    <w:name w:val="批注框文本1"/>
    <w:basedOn w:val="782"/>
    <w:link w:val="965"/>
    <w:uiPriority w:val="0"/>
    <w:qFormat/>
    <w:rPr>
      <w:sz w:val="18"/>
      <w:szCs w:val="18"/>
    </w:rPr>
  </w:style>
  <w:style w:type="character" w:styleId="965" w:customStyle="1">
    <w:name w:val="批注框文本 Char"/>
    <w:link w:val="964"/>
    <w:uiPriority w:val="0"/>
    <w:qFormat/>
    <w:rPr>
      <w:rFonts w:eastAsia="楷体_GB2312"/>
      <w:sz w:val="18"/>
      <w:szCs w:val="18"/>
    </w:rPr>
  </w:style>
  <w:style w:type="paragraph" w:styleId="966" w:customStyle="1">
    <w:name w:val="页脚111"/>
    <w:basedOn w:val="782"/>
    <w:link w:val="967"/>
    <w:uiPriority w:val="99"/>
    <w:qFormat/>
    <w:pPr>
      <w:jc w:val="left"/>
      <w:tabs>
        <w:tab w:val="center" w:pos="4153" w:leader="none"/>
        <w:tab w:val="right" w:pos="8306" w:leader="none"/>
      </w:tabs>
    </w:pPr>
    <w:rPr>
      <w:sz w:val="18"/>
    </w:rPr>
  </w:style>
  <w:style w:type="character" w:styleId="967" w:customStyle="1">
    <w:name w:val="页脚 Char"/>
    <w:link w:val="966"/>
    <w:uiPriority w:val="99"/>
    <w:qFormat/>
    <w:rPr>
      <w:rFonts w:eastAsia="楷体_GB2312"/>
      <w:sz w:val="18"/>
    </w:rPr>
  </w:style>
  <w:style w:type="paragraph" w:styleId="968" w:customStyle="1">
    <w:name w:val="页眉11"/>
    <w:basedOn w:val="782"/>
    <w:link w:val="969"/>
    <w:uiPriority w:val="99"/>
    <w:qFormat/>
    <w:pPr>
      <w:jc w:val="center"/>
      <w:tabs>
        <w:tab w:val="center" w:pos="4153" w:leader="none"/>
        <w:tab w:val="right" w:pos="8306" w:leader="none"/>
      </w:tabs>
      <w:pBdr>
        <w:bottom w:val="single" w:color="000000" w:sz="6" w:space="1"/>
      </w:pBdr>
    </w:pPr>
    <w:rPr>
      <w:sz w:val="18"/>
    </w:rPr>
  </w:style>
  <w:style w:type="character" w:styleId="969" w:customStyle="1">
    <w:name w:val="页眉 Char"/>
    <w:link w:val="968"/>
    <w:uiPriority w:val="99"/>
    <w:qFormat/>
    <w:rPr>
      <w:rFonts w:eastAsia="楷体_GB2312"/>
      <w:sz w:val="18"/>
    </w:rPr>
  </w:style>
  <w:style w:type="paragraph" w:styleId="970" w:customStyle="1">
    <w:name w:val="签名1"/>
    <w:basedOn w:val="782"/>
    <w:uiPriority w:val="0"/>
    <w:qFormat/>
    <w:pPr>
      <w:jc w:val="center"/>
      <w:spacing w:after="600" w:line="312" w:lineRule="atLeast"/>
    </w:pPr>
    <w:rPr>
      <w:rFonts w:eastAsia="仿宋_GB2312"/>
      <w:sz w:val="24"/>
    </w:rPr>
  </w:style>
  <w:style w:type="paragraph" w:styleId="971" w:customStyle="1">
    <w:name w:val="目录 11"/>
    <w:basedOn w:val="782"/>
    <w:next w:val="782"/>
    <w:uiPriority w:val="0"/>
    <w:qFormat/>
    <w:pPr>
      <w:jc w:val="left"/>
    </w:pPr>
    <w:rPr>
      <w:sz w:val="24"/>
    </w:rPr>
  </w:style>
  <w:style w:type="paragraph" w:styleId="972" w:customStyle="1">
    <w:name w:val="目录 41"/>
    <w:basedOn w:val="782"/>
    <w:next w:val="782"/>
    <w:uiPriority w:val="0"/>
    <w:qFormat/>
    <w:pPr>
      <w:ind w:left="1260"/>
    </w:pPr>
  </w:style>
  <w:style w:type="paragraph" w:styleId="973" w:customStyle="1">
    <w:name w:val="索引标题1"/>
    <w:basedOn w:val="782"/>
    <w:next w:val="974"/>
    <w:uiPriority w:val="0"/>
    <w:qFormat/>
  </w:style>
  <w:style w:type="paragraph" w:styleId="974" w:customStyle="1">
    <w:name w:val="索引 11"/>
    <w:basedOn w:val="782"/>
    <w:next w:val="782"/>
    <w:uiPriority w:val="0"/>
    <w:qFormat/>
  </w:style>
  <w:style w:type="paragraph" w:styleId="975" w:customStyle="1">
    <w:name w:val="副标题1"/>
    <w:basedOn w:val="782"/>
    <w:next w:val="782"/>
    <w:link w:val="976"/>
    <w:uiPriority w:val="11"/>
    <w:qFormat/>
    <w:pPr>
      <w:spacing w:before="200" w:after="200"/>
    </w:pPr>
    <w:rPr>
      <w:rFonts w:eastAsia="宋体"/>
      <w:sz w:val="24"/>
      <w:szCs w:val="24"/>
    </w:rPr>
  </w:style>
  <w:style w:type="character" w:styleId="976" w:customStyle="1">
    <w:name w:val="副标题 Char"/>
    <w:link w:val="975"/>
    <w:uiPriority w:val="11"/>
    <w:qFormat/>
    <w:rPr>
      <w:sz w:val="24"/>
      <w:szCs w:val="24"/>
    </w:rPr>
  </w:style>
  <w:style w:type="paragraph" w:styleId="977" w:customStyle="1">
    <w:name w:val="脚注文本1"/>
    <w:basedOn w:val="782"/>
    <w:link w:val="978"/>
    <w:uiPriority w:val="99"/>
    <w:qFormat/>
    <w:pPr>
      <w:jc w:val="left"/>
    </w:pPr>
    <w:rPr>
      <w:rFonts w:eastAsia="宋体"/>
      <w:sz w:val="18"/>
    </w:rPr>
  </w:style>
  <w:style w:type="character" w:styleId="978" w:customStyle="1">
    <w:name w:val="脚注文本 Char"/>
    <w:link w:val="977"/>
    <w:uiPriority w:val="99"/>
    <w:qFormat/>
    <w:rPr>
      <w:sz w:val="18"/>
    </w:rPr>
  </w:style>
  <w:style w:type="paragraph" w:styleId="979" w:customStyle="1">
    <w:name w:val="目录 61"/>
    <w:basedOn w:val="782"/>
    <w:next w:val="782"/>
    <w:uiPriority w:val="0"/>
    <w:qFormat/>
    <w:pPr>
      <w:ind w:left="2100"/>
    </w:pPr>
  </w:style>
  <w:style w:type="paragraph" w:styleId="980" w:customStyle="1">
    <w:name w:val="正文文本缩进 31"/>
    <w:basedOn w:val="782"/>
    <w:uiPriority w:val="0"/>
    <w:qFormat/>
    <w:pPr>
      <w:ind w:firstLine="617"/>
      <w:spacing w:line="360" w:lineRule="auto"/>
    </w:pPr>
    <w:rPr>
      <w:rFonts w:eastAsia="宋体"/>
      <w:sz w:val="24"/>
      <w:szCs w:val="24"/>
    </w:rPr>
  </w:style>
  <w:style w:type="paragraph" w:styleId="981" w:customStyle="1">
    <w:name w:val="索引 71"/>
    <w:basedOn w:val="782"/>
    <w:next w:val="782"/>
    <w:uiPriority w:val="0"/>
    <w:qFormat/>
    <w:pPr>
      <w:ind w:left="2520"/>
    </w:pPr>
  </w:style>
  <w:style w:type="paragraph" w:styleId="982" w:customStyle="1">
    <w:name w:val="索引 91"/>
    <w:basedOn w:val="782"/>
    <w:next w:val="782"/>
    <w:uiPriority w:val="0"/>
    <w:qFormat/>
    <w:pPr>
      <w:ind w:left="3360"/>
    </w:pPr>
  </w:style>
  <w:style w:type="paragraph" w:styleId="983" w:customStyle="1">
    <w:name w:val="图表目录1"/>
    <w:basedOn w:val="782"/>
    <w:next w:val="782"/>
    <w:uiPriority w:val="0"/>
    <w:qFormat/>
    <w:pPr>
      <w:ind w:left="420" w:hanging="420"/>
      <w:jc w:val="left"/>
    </w:pPr>
    <w:rPr>
      <w:smallCaps/>
      <w:sz w:val="24"/>
    </w:rPr>
  </w:style>
  <w:style w:type="paragraph" w:styleId="984" w:customStyle="1">
    <w:name w:val="目录 21"/>
    <w:basedOn w:val="782"/>
    <w:next w:val="782"/>
    <w:uiPriority w:val="0"/>
    <w:qFormat/>
    <w:pPr>
      <w:ind w:left="420"/>
    </w:pPr>
  </w:style>
  <w:style w:type="paragraph" w:styleId="985" w:customStyle="1">
    <w:name w:val="目录 91"/>
    <w:basedOn w:val="782"/>
    <w:next w:val="782"/>
    <w:uiPriority w:val="0"/>
    <w:qFormat/>
    <w:pPr>
      <w:ind w:left="3360"/>
    </w:pPr>
  </w:style>
  <w:style w:type="paragraph" w:styleId="986" w:customStyle="1">
    <w:name w:val="HTML 预设格式1"/>
    <w:basedOn w:val="7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87" w:customStyle="1">
    <w:name w:val="普通(网站)1"/>
    <w:basedOn w:val="782"/>
    <w:link w:val="988"/>
    <w:uiPriority w:val="0"/>
    <w:qFormat/>
    <w:pPr>
      <w:jc w:val="left"/>
      <w:spacing w:line="360" w:lineRule="auto"/>
      <w:shd w:val="clear" w:color="auto" w:fill="ffffff"/>
    </w:pPr>
    <w:rPr>
      <w:sz w:val="24"/>
      <w:szCs w:val="24"/>
    </w:rPr>
  </w:style>
  <w:style w:type="character" w:styleId="988" w:customStyle="1">
    <w:name w:val="普通(网站) Char"/>
    <w:link w:val="987"/>
    <w:uiPriority w:val="0"/>
    <w:qFormat/>
    <w:rPr>
      <w:rFonts w:eastAsia="楷体_GB2312"/>
      <w:sz w:val="24"/>
      <w:szCs w:val="24"/>
      <w:shd w:val="clear" w:color="auto" w:fill="ffffff"/>
    </w:rPr>
  </w:style>
  <w:style w:type="paragraph" w:styleId="989" w:customStyle="1">
    <w:name w:val="索引 21"/>
    <w:basedOn w:val="782"/>
    <w:next w:val="782"/>
    <w:uiPriority w:val="0"/>
    <w:qFormat/>
    <w:pPr>
      <w:ind w:left="420"/>
    </w:pPr>
  </w:style>
  <w:style w:type="paragraph" w:styleId="990" w:customStyle="1">
    <w:name w:val="标题1"/>
    <w:basedOn w:val="782"/>
    <w:next w:val="782"/>
    <w:link w:val="991"/>
    <w:uiPriority w:val="10"/>
    <w:qFormat/>
    <w:pPr>
      <w:contextualSpacing/>
      <w:spacing w:before="300" w:after="200"/>
    </w:pPr>
    <w:rPr>
      <w:rFonts w:eastAsia="宋体"/>
      <w:sz w:val="48"/>
      <w:szCs w:val="48"/>
    </w:rPr>
  </w:style>
  <w:style w:type="character" w:styleId="991" w:customStyle="1">
    <w:name w:val="标题 Char"/>
    <w:link w:val="990"/>
    <w:uiPriority w:val="10"/>
    <w:qFormat/>
    <w:rPr>
      <w:sz w:val="48"/>
      <w:szCs w:val="48"/>
    </w:rPr>
  </w:style>
  <w:style w:type="paragraph" w:styleId="992" w:customStyle="1">
    <w:name w:val="批注主题1"/>
    <w:basedOn w:val="943"/>
    <w:next w:val="943"/>
    <w:uiPriority w:val="0"/>
    <w:qFormat/>
    <w:rPr>
      <w:b/>
      <w:bCs/>
    </w:rPr>
  </w:style>
  <w:style w:type="paragraph" w:styleId="993" w:customStyle="1">
    <w:name w:val="正文首行缩进11"/>
    <w:basedOn w:val="946"/>
    <w:link w:val="994"/>
    <w:uiPriority w:val="0"/>
    <w:qFormat/>
    <w:pPr>
      <w:ind w:firstLine="420"/>
      <w:spacing w:after="120" w:line="240" w:lineRule="auto"/>
    </w:pPr>
    <w:rPr>
      <w:rFonts w:ascii="Calibri"/>
      <w:sz w:val="26"/>
    </w:rPr>
  </w:style>
  <w:style w:type="character" w:styleId="994" w:customStyle="1">
    <w:name w:val="正文首行缩进 Char"/>
    <w:link w:val="993"/>
    <w:uiPriority w:val="0"/>
    <w:qFormat/>
  </w:style>
  <w:style w:type="paragraph" w:styleId="995" w:customStyle="1">
    <w:name w:val="正文首行缩进 211"/>
    <w:basedOn w:val="948"/>
    <w:link w:val="996"/>
    <w:uiPriority w:val="0"/>
    <w:unhideWhenUsed/>
    <w:qFormat/>
    <w:pPr>
      <w:ind w:firstLine="420"/>
    </w:pPr>
  </w:style>
  <w:style w:type="character" w:styleId="996" w:customStyle="1">
    <w:name w:val="正文首行缩进 2 Char"/>
    <w:link w:val="995"/>
    <w:uiPriority w:val="0"/>
    <w:qFormat/>
    <w:rPr>
      <w:rFonts w:hint="eastAsia" w:ascii="楷体_GB2312" w:eastAsia="楷体_GB2312" w:cs="楷体_GB2312"/>
      <w:sz w:val="26"/>
    </w:rPr>
  </w:style>
  <w:style w:type="table" w:styleId="997" w:customStyle="1">
    <w:name w:val="网格型11"/>
    <w:basedOn w:val="936"/>
    <w:uiPriority w:val="0"/>
    <w:qFormat/>
    <w:pPr>
      <w:jc w:val="both"/>
      <w:widowControl w:val="off"/>
    </w:pPr>
    <w:tblPr>
      <w:tblCellMar>
        <w:left w:w="0" w:type="dxa"/>
        <w:top w:w="0" w:type="dxa"/>
        <w:right w:w="0" w:type="dxa"/>
        <w:bottom w:w="0" w:type="dxa"/>
      </w:tblCellMar>
    </w:tblPr>
  </w:style>
  <w:style w:type="character" w:styleId="998" w:customStyle="1">
    <w:name w:val="要点1"/>
    <w:basedOn w:val="935"/>
    <w:uiPriority w:val="22"/>
    <w:qFormat/>
    <w:rPr>
      <w:b/>
    </w:rPr>
  </w:style>
  <w:style w:type="character" w:styleId="999" w:customStyle="1">
    <w:name w:val="尾注引用1"/>
    <w:uiPriority w:val="99"/>
    <w:unhideWhenUsed/>
    <w:qFormat/>
    <w:rPr>
      <w:vertAlign w:val="superscript"/>
    </w:rPr>
  </w:style>
  <w:style w:type="character" w:styleId="1000" w:customStyle="1">
    <w:name w:val="页码1"/>
    <w:uiPriority w:val="0"/>
    <w:qFormat/>
  </w:style>
  <w:style w:type="character" w:styleId="1001" w:customStyle="1">
    <w:name w:val="已访问的超链接1"/>
    <w:uiPriority w:val="99"/>
    <w:qFormat/>
    <w:rPr>
      <w:color w:val="333333"/>
      <w:u w:val="none"/>
    </w:rPr>
  </w:style>
  <w:style w:type="character" w:styleId="1002" w:customStyle="1">
    <w:name w:val="强调1"/>
    <w:uiPriority w:val="0"/>
    <w:qFormat/>
    <w:rPr>
      <w:i/>
      <w:iCs/>
    </w:rPr>
  </w:style>
  <w:style w:type="character" w:styleId="1003" w:customStyle="1">
    <w:name w:val="行号1"/>
    <w:uiPriority w:val="0"/>
    <w:qFormat/>
  </w:style>
  <w:style w:type="character" w:styleId="1004" w:customStyle="1">
    <w:name w:val="HTML 定义1"/>
    <w:uiPriority w:val="0"/>
    <w:qFormat/>
    <w:rPr>
      <w:i/>
    </w:rPr>
  </w:style>
  <w:style w:type="character" w:styleId="1005" w:customStyle="1">
    <w:name w:val="超链接1"/>
    <w:uiPriority w:val="99"/>
    <w:qFormat/>
    <w:rPr>
      <w:color w:val="333333"/>
      <w:u w:val="none"/>
    </w:rPr>
  </w:style>
  <w:style w:type="character" w:styleId="1006" w:customStyle="1">
    <w:name w:val="HTML 代码1"/>
    <w:uiPriority w:val="0"/>
    <w:qFormat/>
    <w:rPr>
      <w:rFonts w:ascii="Menlo" w:hAnsi="Menlo" w:eastAsia="Menlo" w:cs="Menlo"/>
      <w:color w:val="c7254e"/>
      <w:sz w:val="21"/>
      <w:szCs w:val="21"/>
      <w:shd w:val="clear" w:color="auto" w:fill="f9f2f4"/>
    </w:rPr>
  </w:style>
  <w:style w:type="character" w:styleId="1007" w:customStyle="1">
    <w:name w:val="批注引用1"/>
    <w:uiPriority w:val="0"/>
    <w:qFormat/>
    <w:rPr>
      <w:sz w:val="21"/>
      <w:szCs w:val="21"/>
    </w:rPr>
  </w:style>
  <w:style w:type="character" w:styleId="1008" w:customStyle="1">
    <w:name w:val="HTML 引文1"/>
    <w:uiPriority w:val="0"/>
    <w:qFormat/>
  </w:style>
  <w:style w:type="character" w:styleId="1009" w:customStyle="1">
    <w:name w:val="脚注引用1"/>
    <w:uiPriority w:val="0"/>
    <w:qFormat/>
    <w:rPr>
      <w:vertAlign w:val="superscript"/>
    </w:rPr>
  </w:style>
  <w:style w:type="character" w:styleId="1010" w:customStyle="1">
    <w:name w:val="HTML 键盘1"/>
    <w:uiPriority w:val="0"/>
    <w:qFormat/>
    <w:rPr>
      <w:rFonts w:ascii="Menlo" w:hAnsi="Menlo" w:eastAsia="Menlo" w:cs="Menlo"/>
      <w:sz w:val="21"/>
      <w:szCs w:val="21"/>
    </w:rPr>
  </w:style>
  <w:style w:type="character" w:styleId="1011" w:customStyle="1">
    <w:name w:val="HTML 样本1"/>
    <w:uiPriority w:val="0"/>
    <w:qFormat/>
    <w:rPr>
      <w:rFonts w:ascii="Menlo" w:hAnsi="Menlo" w:eastAsia="Menlo" w:cs="Menlo"/>
      <w:sz w:val="21"/>
      <w:szCs w:val="21"/>
    </w:rPr>
  </w:style>
  <w:style w:type="table" w:styleId="1012" w:customStyle="1">
    <w:name w:val="Plain Table 1"/>
    <w:basedOn w:val="936"/>
    <w:uiPriority w:val="59"/>
    <w:qFormat/>
    <w:tblPr>
      <w:tblCellMar>
        <w:left w:w="0" w:type="dxa"/>
        <w:top w:w="0" w:type="dxa"/>
        <w:right w:w="0" w:type="dxa"/>
        <w:bottom w:w="0" w:type="dxa"/>
      </w:tblCellMar>
    </w:tblPr>
  </w:style>
  <w:style w:type="table" w:styleId="1013" w:customStyle="1">
    <w:name w:val="Plain Table 2"/>
    <w:basedOn w:val="936"/>
    <w:uiPriority w:val="59"/>
    <w:qFormat/>
    <w:tblPr>
      <w:tblCellMar>
        <w:left w:w="0" w:type="dxa"/>
        <w:top w:w="0" w:type="dxa"/>
        <w:right w:w="0" w:type="dxa"/>
        <w:bottom w:w="0" w:type="dxa"/>
      </w:tblCellMar>
    </w:tblPr>
  </w:style>
  <w:style w:type="table" w:styleId="1014" w:customStyle="1">
    <w:name w:val="Plain Table 3"/>
    <w:basedOn w:val="936"/>
    <w:uiPriority w:val="99"/>
    <w:qFormat/>
    <w:tblPr>
      <w:tblCellMar>
        <w:left w:w="0" w:type="dxa"/>
        <w:top w:w="0" w:type="dxa"/>
        <w:right w:w="0" w:type="dxa"/>
        <w:bottom w:w="0" w:type="dxa"/>
      </w:tblCellMar>
    </w:tblPr>
  </w:style>
  <w:style w:type="table" w:styleId="1015" w:customStyle="1">
    <w:name w:val="Plain Table 4"/>
    <w:basedOn w:val="936"/>
    <w:uiPriority w:val="99"/>
    <w:qFormat/>
    <w:tblPr>
      <w:tblCellMar>
        <w:left w:w="0" w:type="dxa"/>
        <w:top w:w="0" w:type="dxa"/>
        <w:right w:w="0" w:type="dxa"/>
        <w:bottom w:w="0" w:type="dxa"/>
      </w:tblCellMar>
    </w:tblPr>
  </w:style>
  <w:style w:type="table" w:styleId="1016" w:customStyle="1">
    <w:name w:val="Plain Table 5"/>
    <w:basedOn w:val="936"/>
    <w:uiPriority w:val="99"/>
    <w:qFormat/>
    <w:tblPr>
      <w:tblCellMar>
        <w:left w:w="0" w:type="dxa"/>
        <w:top w:w="0" w:type="dxa"/>
        <w:right w:w="0" w:type="dxa"/>
        <w:bottom w:w="0" w:type="dxa"/>
      </w:tblCellMar>
    </w:tblPr>
  </w:style>
  <w:style w:type="table" w:styleId="1017" w:customStyle="1">
    <w:name w:val="Grid Table 1 Light"/>
    <w:basedOn w:val="936"/>
    <w:uiPriority w:val="99"/>
    <w:qFormat/>
    <w:tblPr>
      <w:tblCellMar>
        <w:left w:w="0" w:type="dxa"/>
        <w:top w:w="0" w:type="dxa"/>
        <w:right w:w="0" w:type="dxa"/>
        <w:bottom w:w="0" w:type="dxa"/>
      </w:tblCellMar>
    </w:tblPr>
  </w:style>
  <w:style w:type="table" w:styleId="1018" w:customStyle="1">
    <w:name w:val="Grid Table 2"/>
    <w:basedOn w:val="936"/>
    <w:uiPriority w:val="99"/>
    <w:qFormat/>
    <w:tblPr>
      <w:tblCellMar>
        <w:left w:w="0" w:type="dxa"/>
        <w:top w:w="0" w:type="dxa"/>
        <w:right w:w="0" w:type="dxa"/>
        <w:bottom w:w="0" w:type="dxa"/>
      </w:tblCellMar>
    </w:tblPr>
  </w:style>
  <w:style w:type="table" w:styleId="1019" w:customStyle="1">
    <w:name w:val="Grid Table 3"/>
    <w:basedOn w:val="936"/>
    <w:uiPriority w:val="99"/>
    <w:qFormat/>
    <w:tblPr>
      <w:tblCellMar>
        <w:left w:w="0" w:type="dxa"/>
        <w:top w:w="0" w:type="dxa"/>
        <w:right w:w="0" w:type="dxa"/>
        <w:bottom w:w="0" w:type="dxa"/>
      </w:tblCellMar>
    </w:tblPr>
  </w:style>
  <w:style w:type="table" w:styleId="1020" w:customStyle="1">
    <w:name w:val="Grid Table 4"/>
    <w:basedOn w:val="936"/>
    <w:uiPriority w:val="59"/>
    <w:qFormat/>
    <w:tblPr>
      <w:tblCellMar>
        <w:left w:w="0" w:type="dxa"/>
        <w:top w:w="0" w:type="dxa"/>
        <w:right w:w="0" w:type="dxa"/>
        <w:bottom w:w="0" w:type="dxa"/>
      </w:tblCellMar>
    </w:tblPr>
  </w:style>
  <w:style w:type="table" w:styleId="1021" w:customStyle="1">
    <w:name w:val="Grid Table 5 Dark"/>
    <w:basedOn w:val="936"/>
    <w:uiPriority w:val="99"/>
    <w:qFormat/>
    <w:tblPr>
      <w:tblCellMar>
        <w:left w:w="0" w:type="dxa"/>
        <w:top w:w="0" w:type="dxa"/>
        <w:right w:w="0" w:type="dxa"/>
        <w:bottom w:w="0" w:type="dxa"/>
      </w:tblCellMar>
    </w:tblPr>
  </w:style>
  <w:style w:type="table" w:styleId="1022" w:customStyle="1">
    <w:name w:val="Grid Table 6 Colorful"/>
    <w:basedOn w:val="936"/>
    <w:uiPriority w:val="99"/>
    <w:qFormat/>
    <w:tblPr>
      <w:tblCellMar>
        <w:left w:w="0" w:type="dxa"/>
        <w:top w:w="0" w:type="dxa"/>
        <w:right w:w="0" w:type="dxa"/>
        <w:bottom w:w="0" w:type="dxa"/>
      </w:tblCellMar>
    </w:tblPr>
  </w:style>
  <w:style w:type="table" w:styleId="1023" w:customStyle="1">
    <w:name w:val="Grid Table 7 Colorful"/>
    <w:basedOn w:val="936"/>
    <w:uiPriority w:val="99"/>
    <w:qFormat/>
    <w:tblPr>
      <w:tblCellMar>
        <w:left w:w="0" w:type="dxa"/>
        <w:top w:w="0" w:type="dxa"/>
        <w:right w:w="0" w:type="dxa"/>
        <w:bottom w:w="0" w:type="dxa"/>
      </w:tblCellMar>
    </w:tblPr>
  </w:style>
  <w:style w:type="table" w:styleId="1024" w:customStyle="1">
    <w:name w:val="List Table 1 Light"/>
    <w:basedOn w:val="936"/>
    <w:uiPriority w:val="99"/>
    <w:qFormat/>
    <w:tblPr>
      <w:tblCellMar>
        <w:left w:w="0" w:type="dxa"/>
        <w:top w:w="0" w:type="dxa"/>
        <w:right w:w="0" w:type="dxa"/>
        <w:bottom w:w="0" w:type="dxa"/>
      </w:tblCellMar>
    </w:tblPr>
  </w:style>
  <w:style w:type="table" w:styleId="1025" w:customStyle="1">
    <w:name w:val="List Table 2"/>
    <w:basedOn w:val="936"/>
    <w:uiPriority w:val="99"/>
    <w:qFormat/>
    <w:tblPr>
      <w:tblCellMar>
        <w:left w:w="0" w:type="dxa"/>
        <w:top w:w="0" w:type="dxa"/>
        <w:right w:w="0" w:type="dxa"/>
        <w:bottom w:w="0" w:type="dxa"/>
      </w:tblCellMar>
    </w:tblPr>
  </w:style>
  <w:style w:type="table" w:styleId="1026" w:customStyle="1">
    <w:name w:val="List Table 3"/>
    <w:basedOn w:val="936"/>
    <w:uiPriority w:val="99"/>
    <w:qFormat/>
    <w:tblPr>
      <w:tblCellMar>
        <w:left w:w="0" w:type="dxa"/>
        <w:top w:w="0" w:type="dxa"/>
        <w:right w:w="0" w:type="dxa"/>
        <w:bottom w:w="0" w:type="dxa"/>
      </w:tblCellMar>
    </w:tblPr>
  </w:style>
  <w:style w:type="table" w:styleId="1027" w:customStyle="1">
    <w:name w:val="List Table 4"/>
    <w:basedOn w:val="936"/>
    <w:uiPriority w:val="99"/>
    <w:qFormat/>
    <w:tblPr>
      <w:tblCellMar>
        <w:left w:w="0" w:type="dxa"/>
        <w:top w:w="0" w:type="dxa"/>
        <w:right w:w="0" w:type="dxa"/>
        <w:bottom w:w="0" w:type="dxa"/>
      </w:tblCellMar>
    </w:tblPr>
  </w:style>
  <w:style w:type="table" w:styleId="1028" w:customStyle="1">
    <w:name w:val="List Table 5 Dark"/>
    <w:basedOn w:val="936"/>
    <w:uiPriority w:val="99"/>
    <w:qFormat/>
    <w:tblPr>
      <w:tblCellMar>
        <w:left w:w="0" w:type="dxa"/>
        <w:top w:w="0" w:type="dxa"/>
        <w:right w:w="0" w:type="dxa"/>
        <w:bottom w:w="0" w:type="dxa"/>
      </w:tblCellMar>
    </w:tblPr>
  </w:style>
  <w:style w:type="table" w:styleId="1029" w:customStyle="1">
    <w:name w:val="List Table 6 Colorful"/>
    <w:basedOn w:val="936"/>
    <w:uiPriority w:val="99"/>
    <w:qFormat/>
    <w:tblPr>
      <w:tblCellMar>
        <w:left w:w="0" w:type="dxa"/>
        <w:top w:w="0" w:type="dxa"/>
        <w:right w:w="0" w:type="dxa"/>
        <w:bottom w:w="0" w:type="dxa"/>
      </w:tblCellMar>
    </w:tblPr>
  </w:style>
  <w:style w:type="table" w:styleId="1030" w:customStyle="1">
    <w:name w:val="List Table 7 Colorful"/>
    <w:basedOn w:val="936"/>
    <w:uiPriority w:val="99"/>
    <w:qFormat/>
    <w:tblPr>
      <w:tblCellMar>
        <w:left w:w="0" w:type="dxa"/>
        <w:top w:w="0" w:type="dxa"/>
        <w:right w:w="0" w:type="dxa"/>
        <w:bottom w:w="0" w:type="dxa"/>
      </w:tblCellMar>
    </w:tblPr>
  </w:style>
  <w:style w:type="paragraph" w:styleId="1031" w:customStyle="1">
    <w:name w:val="TOC 标题1"/>
    <w:uiPriority w:val="39"/>
    <w:unhideWhenUsed/>
    <w:qFormat/>
    <w:rPr>
      <w:rFonts w:ascii="Times New Roman" w:hAnsi="Times New Roman" w:eastAsia="宋体" w:cs="Times New Roman"/>
      <w:lang w:val="en-US" w:eastAsia="zh-CN" w:bidi="ar-SA"/>
    </w:rPr>
  </w:style>
  <w:style w:type="paragraph" w:styleId="1032" w:customStyle="1">
    <w:name w:val="段"/>
    <w:basedOn w:val="782"/>
    <w:next w:val="782"/>
    <w:uiPriority w:val="0"/>
    <w:qFormat/>
    <w:pPr>
      <w:ind w:firstLine="200"/>
      <w:spacing w:line="360" w:lineRule="auto"/>
      <w:widowControl/>
    </w:pPr>
    <w:rPr>
      <w:rFonts w:ascii="宋体" w:hAnsi="宋体" w:eastAsia="宋体" w:cs="宋体"/>
      <w:sz w:val="24"/>
      <w:szCs w:val="24"/>
    </w:rPr>
  </w:style>
  <w:style w:type="paragraph" w:styleId="1033" w:customStyle="1">
    <w:name w:val="首行缩进"/>
    <w:basedOn w:val="782"/>
    <w:uiPriority w:val="0"/>
    <w:qFormat/>
    <w:pPr>
      <w:ind w:firstLine="480"/>
    </w:pPr>
    <w:rPr>
      <w:lang w:val="zh-CN"/>
    </w:rPr>
  </w:style>
  <w:style w:type="character" w:styleId="1034" w:customStyle="1">
    <w:name w:val="Title Char"/>
    <w:basedOn w:val="935"/>
    <w:uiPriority w:val="10"/>
    <w:qFormat/>
    <w:rPr>
      <w:sz w:val="48"/>
      <w:szCs w:val="48"/>
    </w:rPr>
  </w:style>
  <w:style w:type="character" w:styleId="1035" w:customStyle="1">
    <w:name w:val="Subtitle Char"/>
    <w:basedOn w:val="935"/>
    <w:uiPriority w:val="11"/>
    <w:qFormat/>
    <w:rPr>
      <w:sz w:val="24"/>
      <w:szCs w:val="24"/>
    </w:rPr>
  </w:style>
  <w:style w:type="character" w:styleId="1036" w:customStyle="1">
    <w:name w:val="Quote Char"/>
    <w:uiPriority w:val="29"/>
    <w:qFormat/>
    <w:rPr>
      <w:i/>
    </w:rPr>
  </w:style>
  <w:style w:type="character" w:styleId="1037" w:customStyle="1">
    <w:name w:val="Intense Quote Char"/>
    <w:uiPriority w:val="30"/>
    <w:qFormat/>
    <w:rPr>
      <w:i/>
    </w:rPr>
  </w:style>
  <w:style w:type="character" w:styleId="1038" w:customStyle="1">
    <w:name w:val="Footnote Text Char"/>
    <w:uiPriority w:val="99"/>
    <w:qFormat/>
    <w:rPr>
      <w:sz w:val="18"/>
    </w:rPr>
  </w:style>
  <w:style w:type="character" w:styleId="1039" w:customStyle="1">
    <w:name w:val="Endnote Text Char"/>
    <w:uiPriority w:val="99"/>
    <w:qFormat/>
    <w:rPr>
      <w:sz w:val="20"/>
    </w:rPr>
  </w:style>
  <w:style w:type="paragraph" w:styleId="1040" w:customStyle="1">
    <w:name w:val="TOC 标题111"/>
    <w:uiPriority w:val="39"/>
    <w:unhideWhenUsed/>
    <w:qFormat/>
    <w:rPr>
      <w:rFonts w:ascii="Times New Roman" w:hAnsi="Times New Roman" w:eastAsia="宋体" w:cs="Times New Roman"/>
      <w:lang w:val="en-US" w:eastAsia="zh-CN" w:bidi="ar-SA"/>
    </w:rPr>
  </w:style>
  <w:style w:type="paragraph" w:styleId="1041" w:customStyle="1">
    <w:name w:val="标题 11"/>
    <w:basedOn w:val="782"/>
    <w:next w:val="782"/>
    <w:link w:val="1042"/>
    <w:uiPriority w:val="9"/>
    <w:qFormat/>
    <w:pPr>
      <w:keepLines/>
      <w:keepNext/>
      <w:spacing w:before="480" w:after="200"/>
      <w:outlineLvl w:val="0"/>
    </w:pPr>
    <w:rPr>
      <w:rFonts w:ascii="Arial" w:hAnsi="Arial" w:eastAsia="Arial"/>
      <w:sz w:val="40"/>
      <w:szCs w:val="40"/>
    </w:rPr>
  </w:style>
  <w:style w:type="character" w:styleId="1042" w:customStyle="1">
    <w:name w:val="Heading 1 Char"/>
    <w:link w:val="1041"/>
    <w:uiPriority w:val="9"/>
    <w:qFormat/>
    <w:rPr>
      <w:rFonts w:ascii="Arial" w:hAnsi="Arial" w:eastAsia="Arial" w:cs="Arial"/>
      <w:sz w:val="40"/>
      <w:szCs w:val="40"/>
    </w:rPr>
  </w:style>
  <w:style w:type="paragraph" w:styleId="1043" w:customStyle="1">
    <w:name w:val="标题 21"/>
    <w:basedOn w:val="782"/>
    <w:next w:val="782"/>
    <w:link w:val="1044"/>
    <w:uiPriority w:val="9"/>
    <w:unhideWhenUsed/>
    <w:qFormat/>
    <w:pPr>
      <w:keepLines/>
      <w:keepNext/>
      <w:spacing w:before="360" w:after="200"/>
      <w:outlineLvl w:val="1"/>
    </w:pPr>
    <w:rPr>
      <w:rFonts w:ascii="Arial" w:hAnsi="Arial" w:eastAsia="Arial"/>
      <w:sz w:val="34"/>
    </w:rPr>
  </w:style>
  <w:style w:type="character" w:styleId="1044" w:customStyle="1">
    <w:name w:val="Heading 2 Char"/>
    <w:link w:val="1043"/>
    <w:uiPriority w:val="9"/>
    <w:qFormat/>
    <w:rPr>
      <w:rFonts w:ascii="Arial" w:hAnsi="Arial" w:eastAsia="Arial" w:cs="Arial"/>
      <w:sz w:val="34"/>
    </w:rPr>
  </w:style>
  <w:style w:type="paragraph" w:styleId="1045" w:customStyle="1">
    <w:name w:val="标题 31"/>
    <w:basedOn w:val="782"/>
    <w:next w:val="782"/>
    <w:link w:val="1046"/>
    <w:uiPriority w:val="9"/>
    <w:unhideWhenUsed/>
    <w:qFormat/>
    <w:pPr>
      <w:keepLines/>
      <w:keepNext/>
      <w:spacing w:before="320" w:after="200"/>
      <w:outlineLvl w:val="2"/>
    </w:pPr>
    <w:rPr>
      <w:rFonts w:ascii="Arial" w:hAnsi="Arial" w:eastAsia="Arial"/>
      <w:sz w:val="30"/>
      <w:szCs w:val="30"/>
    </w:rPr>
  </w:style>
  <w:style w:type="character" w:styleId="1046" w:customStyle="1">
    <w:name w:val="Heading 3 Char"/>
    <w:link w:val="1045"/>
    <w:uiPriority w:val="9"/>
    <w:qFormat/>
    <w:rPr>
      <w:rFonts w:ascii="Arial" w:hAnsi="Arial" w:eastAsia="Arial" w:cs="Arial"/>
      <w:sz w:val="30"/>
      <w:szCs w:val="30"/>
    </w:rPr>
  </w:style>
  <w:style w:type="paragraph" w:styleId="1047" w:customStyle="1">
    <w:name w:val="标题 41"/>
    <w:basedOn w:val="782"/>
    <w:next w:val="782"/>
    <w:link w:val="1048"/>
    <w:uiPriority w:val="9"/>
    <w:unhideWhenUsed/>
    <w:qFormat/>
    <w:pPr>
      <w:keepLines/>
      <w:keepNext/>
      <w:spacing w:before="320" w:after="200"/>
      <w:outlineLvl w:val="3"/>
    </w:pPr>
    <w:rPr>
      <w:rFonts w:ascii="Arial" w:hAnsi="Arial" w:eastAsia="Arial"/>
      <w:b/>
      <w:bCs/>
      <w:szCs w:val="26"/>
    </w:rPr>
  </w:style>
  <w:style w:type="character" w:styleId="1048" w:customStyle="1">
    <w:name w:val="Heading 4 Char"/>
    <w:link w:val="1047"/>
    <w:uiPriority w:val="9"/>
    <w:qFormat/>
    <w:rPr>
      <w:rFonts w:ascii="Arial" w:hAnsi="Arial" w:eastAsia="Arial" w:cs="Arial"/>
      <w:b/>
      <w:bCs/>
      <w:sz w:val="26"/>
      <w:szCs w:val="26"/>
    </w:rPr>
  </w:style>
  <w:style w:type="paragraph" w:styleId="1049" w:customStyle="1">
    <w:name w:val="标题 51"/>
    <w:basedOn w:val="782"/>
    <w:next w:val="782"/>
    <w:link w:val="1050"/>
    <w:uiPriority w:val="9"/>
    <w:unhideWhenUsed/>
    <w:qFormat/>
    <w:pPr>
      <w:keepLines/>
      <w:keepNext/>
      <w:spacing w:before="320" w:after="200"/>
      <w:outlineLvl w:val="4"/>
    </w:pPr>
    <w:rPr>
      <w:rFonts w:ascii="Arial" w:hAnsi="Arial" w:eastAsia="Arial"/>
      <w:b/>
      <w:bCs/>
      <w:sz w:val="24"/>
      <w:szCs w:val="24"/>
    </w:rPr>
  </w:style>
  <w:style w:type="character" w:styleId="1050" w:customStyle="1">
    <w:name w:val="Heading 5 Char"/>
    <w:link w:val="1049"/>
    <w:uiPriority w:val="9"/>
    <w:qFormat/>
    <w:rPr>
      <w:rFonts w:ascii="Arial" w:hAnsi="Arial" w:eastAsia="Arial" w:cs="Arial"/>
      <w:b/>
      <w:bCs/>
      <w:sz w:val="24"/>
      <w:szCs w:val="24"/>
    </w:rPr>
  </w:style>
  <w:style w:type="paragraph" w:styleId="1051" w:customStyle="1">
    <w:name w:val="标题 61"/>
    <w:basedOn w:val="782"/>
    <w:next w:val="782"/>
    <w:link w:val="1052"/>
    <w:uiPriority w:val="9"/>
    <w:unhideWhenUsed/>
    <w:qFormat/>
    <w:pPr>
      <w:keepLines/>
      <w:keepNext/>
      <w:spacing w:before="320" w:after="200"/>
      <w:outlineLvl w:val="5"/>
    </w:pPr>
    <w:rPr>
      <w:rFonts w:ascii="Arial" w:hAnsi="Arial" w:eastAsia="Arial"/>
      <w:b/>
      <w:bCs/>
      <w:sz w:val="22"/>
      <w:szCs w:val="22"/>
    </w:rPr>
  </w:style>
  <w:style w:type="character" w:styleId="1052" w:customStyle="1">
    <w:name w:val="Heading 6 Char"/>
    <w:link w:val="1051"/>
    <w:uiPriority w:val="9"/>
    <w:qFormat/>
    <w:rPr>
      <w:rFonts w:ascii="Arial" w:hAnsi="Arial" w:eastAsia="Arial" w:cs="Arial"/>
      <w:b/>
      <w:bCs/>
      <w:sz w:val="22"/>
      <w:szCs w:val="22"/>
    </w:rPr>
  </w:style>
  <w:style w:type="paragraph" w:styleId="1053" w:customStyle="1">
    <w:name w:val="标题 71"/>
    <w:basedOn w:val="782"/>
    <w:next w:val="782"/>
    <w:link w:val="1054"/>
    <w:uiPriority w:val="9"/>
    <w:unhideWhenUsed/>
    <w:qFormat/>
    <w:pPr>
      <w:keepLines/>
      <w:keepNext/>
      <w:spacing w:before="320" w:after="200"/>
      <w:outlineLvl w:val="6"/>
    </w:pPr>
    <w:rPr>
      <w:rFonts w:ascii="Arial" w:hAnsi="Arial" w:eastAsia="Arial"/>
      <w:b/>
      <w:bCs/>
      <w:i/>
      <w:iCs/>
      <w:sz w:val="22"/>
      <w:szCs w:val="22"/>
    </w:rPr>
  </w:style>
  <w:style w:type="character" w:styleId="1054" w:customStyle="1">
    <w:name w:val="Heading 7 Char"/>
    <w:link w:val="1053"/>
    <w:uiPriority w:val="9"/>
    <w:qFormat/>
    <w:rPr>
      <w:rFonts w:ascii="Arial" w:hAnsi="Arial" w:eastAsia="Arial" w:cs="Arial"/>
      <w:b/>
      <w:bCs/>
      <w:i/>
      <w:iCs/>
      <w:sz w:val="22"/>
      <w:szCs w:val="22"/>
    </w:rPr>
  </w:style>
  <w:style w:type="paragraph" w:styleId="1055" w:customStyle="1">
    <w:name w:val="标题 81"/>
    <w:basedOn w:val="782"/>
    <w:next w:val="782"/>
    <w:link w:val="1056"/>
    <w:uiPriority w:val="9"/>
    <w:unhideWhenUsed/>
    <w:qFormat/>
    <w:pPr>
      <w:keepLines/>
      <w:keepNext/>
      <w:spacing w:before="320" w:after="200"/>
      <w:outlineLvl w:val="7"/>
    </w:pPr>
    <w:rPr>
      <w:rFonts w:ascii="Arial" w:hAnsi="Arial" w:eastAsia="Arial"/>
      <w:i/>
      <w:iCs/>
      <w:sz w:val="22"/>
      <w:szCs w:val="22"/>
    </w:rPr>
  </w:style>
  <w:style w:type="character" w:styleId="1056" w:customStyle="1">
    <w:name w:val="Heading 8 Char"/>
    <w:link w:val="1055"/>
    <w:uiPriority w:val="9"/>
    <w:qFormat/>
    <w:rPr>
      <w:rFonts w:ascii="Arial" w:hAnsi="Arial" w:eastAsia="Arial" w:cs="Arial"/>
      <w:i/>
      <w:iCs/>
      <w:sz w:val="22"/>
      <w:szCs w:val="22"/>
    </w:rPr>
  </w:style>
  <w:style w:type="paragraph" w:styleId="1057" w:customStyle="1">
    <w:name w:val="标题 91"/>
    <w:basedOn w:val="782"/>
    <w:next w:val="782"/>
    <w:link w:val="1058"/>
    <w:uiPriority w:val="9"/>
    <w:unhideWhenUsed/>
    <w:qFormat/>
    <w:pPr>
      <w:keepLines/>
      <w:keepNext/>
      <w:spacing w:before="320" w:after="200"/>
      <w:outlineLvl w:val="8"/>
    </w:pPr>
    <w:rPr>
      <w:rFonts w:ascii="Arial" w:hAnsi="Arial" w:eastAsia="Arial"/>
      <w:i/>
      <w:iCs/>
      <w:sz w:val="21"/>
      <w:szCs w:val="21"/>
    </w:rPr>
  </w:style>
  <w:style w:type="character" w:styleId="1058" w:customStyle="1">
    <w:name w:val="Heading 9 Char"/>
    <w:link w:val="1057"/>
    <w:uiPriority w:val="9"/>
    <w:qFormat/>
    <w:rPr>
      <w:rFonts w:ascii="Arial" w:hAnsi="Arial" w:eastAsia="Arial" w:cs="Arial"/>
      <w:i/>
      <w:iCs/>
      <w:sz w:val="21"/>
      <w:szCs w:val="21"/>
    </w:rPr>
  </w:style>
  <w:style w:type="paragraph" w:styleId="1059" w:customStyle="1">
    <w:name w:val="列出段落1"/>
    <w:basedOn w:val="782"/>
    <w:link w:val="1060"/>
    <w:uiPriority w:val="0"/>
    <w:qFormat/>
    <w:pPr>
      <w:ind w:firstLine="420"/>
    </w:pPr>
    <w:rPr>
      <w:rFonts w:eastAsia="宋体"/>
      <w:sz w:val="21"/>
      <w:szCs w:val="24"/>
    </w:rPr>
  </w:style>
  <w:style w:type="character" w:styleId="1060" w:customStyle="1">
    <w:name w:val="列出段落 Char"/>
    <w:link w:val="1059"/>
    <w:uiPriority w:val="0"/>
    <w:qFormat/>
    <w:rPr>
      <w:sz w:val="21"/>
      <w:szCs w:val="24"/>
    </w:rPr>
  </w:style>
  <w:style w:type="paragraph" w:styleId="1061" w:customStyle="1">
    <w:name w:val="无间隔1"/>
    <w:uiPriority w:val="99"/>
    <w:qFormat/>
    <w:pPr>
      <w:jc w:val="both"/>
      <w:widowControl w:val="off"/>
    </w:pPr>
    <w:rPr>
      <w:rFonts w:ascii="Times New Roman" w:hAnsi="Times New Roman" w:eastAsia="楷体_GB2312" w:cs="Times New Roman"/>
      <w:sz w:val="26"/>
      <w:lang w:val="en-US" w:eastAsia="zh-CN" w:bidi="ar-SA"/>
    </w:rPr>
  </w:style>
  <w:style w:type="paragraph" w:styleId="1062" w:customStyle="1">
    <w:name w:val="引用1"/>
    <w:basedOn w:val="782"/>
    <w:next w:val="782"/>
    <w:link w:val="1063"/>
    <w:uiPriority w:val="29"/>
    <w:qFormat/>
    <w:pPr>
      <w:ind w:left="720" w:right="720"/>
    </w:pPr>
    <w:rPr>
      <w:rFonts w:eastAsia="宋体"/>
      <w:i/>
      <w:sz w:val="20"/>
    </w:rPr>
  </w:style>
  <w:style w:type="character" w:styleId="1063" w:customStyle="1">
    <w:name w:val="引用 Char"/>
    <w:link w:val="1062"/>
    <w:uiPriority w:val="29"/>
    <w:qFormat/>
    <w:rPr>
      <w:i/>
    </w:rPr>
  </w:style>
  <w:style w:type="paragraph" w:styleId="1064" w:customStyle="1">
    <w:name w:val="明显引用1"/>
    <w:basedOn w:val="782"/>
    <w:next w:val="782"/>
    <w:link w:val="10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65" w:customStyle="1">
    <w:name w:val="明显引用 Char"/>
    <w:link w:val="1064"/>
    <w:uiPriority w:val="30"/>
    <w:qFormat/>
    <w:rPr>
      <w:i/>
    </w:rPr>
  </w:style>
  <w:style w:type="paragraph" w:styleId="1066" w:customStyle="1">
    <w:name w:val="页眉1"/>
    <w:basedOn w:val="782"/>
    <w:link w:val="1067"/>
    <w:uiPriority w:val="0"/>
    <w:unhideWhenUsed/>
    <w:qFormat/>
    <w:pPr>
      <w:tabs>
        <w:tab w:val="center" w:pos="7143" w:leader="none"/>
        <w:tab w:val="right" w:pos="14287" w:leader="none"/>
      </w:tabs>
    </w:pPr>
    <w:rPr>
      <w:rFonts w:eastAsia="宋体"/>
      <w:sz w:val="18"/>
    </w:rPr>
  </w:style>
  <w:style w:type="character" w:styleId="1067" w:customStyle="1">
    <w:name w:val="Header Char"/>
    <w:link w:val="1066"/>
    <w:uiPriority w:val="0"/>
    <w:qFormat/>
    <w:rPr>
      <w:sz w:val="18"/>
    </w:rPr>
  </w:style>
  <w:style w:type="paragraph" w:styleId="1068" w:customStyle="1">
    <w:name w:val="页脚1"/>
    <w:basedOn w:val="782"/>
    <w:link w:val="1069"/>
    <w:uiPriority w:val="99"/>
    <w:unhideWhenUsed/>
    <w:qFormat/>
    <w:pPr>
      <w:tabs>
        <w:tab w:val="center" w:pos="7143" w:leader="none"/>
        <w:tab w:val="right" w:pos="14287" w:leader="none"/>
      </w:tabs>
    </w:pPr>
  </w:style>
  <w:style w:type="character" w:styleId="1069" w:customStyle="1">
    <w:name w:val="Caption Char"/>
    <w:link w:val="1068"/>
    <w:uiPriority w:val="99"/>
    <w:qFormat/>
  </w:style>
  <w:style w:type="character" w:styleId="1070" w:customStyle="1">
    <w:name w:val="Footer Char"/>
    <w:uiPriority w:val="99"/>
    <w:qFormat/>
  </w:style>
  <w:style w:type="paragraph" w:styleId="1071" w:customStyle="1">
    <w:name w:val="题注1"/>
    <w:basedOn w:val="782"/>
    <w:next w:val="782"/>
    <w:uiPriority w:val="35"/>
    <w:unhideWhenUsed/>
    <w:qFormat/>
    <w:pPr>
      <w:spacing w:line="276" w:lineRule="auto"/>
    </w:pPr>
    <w:rPr>
      <w:b/>
      <w:bCs/>
      <w:color w:val="4f81bd"/>
      <w:sz w:val="18"/>
      <w:szCs w:val="18"/>
    </w:rPr>
  </w:style>
  <w:style w:type="table" w:styleId="1072" w:customStyle="1">
    <w:name w:val="Table Grid Light"/>
    <w:uiPriority w:val="59"/>
    <w:qFormat/>
    <w:tblPr>
      <w:tblCellMar>
        <w:left w:w="0" w:type="dxa"/>
        <w:top w:w="0" w:type="dxa"/>
        <w:right w:w="0" w:type="dxa"/>
        <w:bottom w:w="0" w:type="dxa"/>
      </w:tblCellMar>
    </w:tblPr>
  </w:style>
  <w:style w:type="table" w:styleId="1073" w:customStyle="1">
    <w:name w:val="无格式表格 11"/>
    <w:uiPriority w:val="59"/>
    <w:qFormat/>
    <w:tblPr>
      <w:tblCellMar>
        <w:left w:w="0" w:type="dxa"/>
        <w:top w:w="0" w:type="dxa"/>
        <w:right w:w="0" w:type="dxa"/>
        <w:bottom w:w="0" w:type="dxa"/>
      </w:tblCellMar>
    </w:tblPr>
  </w:style>
  <w:style w:type="table" w:styleId="1074" w:customStyle="1">
    <w:name w:val="无格式表格 21"/>
    <w:uiPriority w:val="59"/>
    <w:qFormat/>
    <w:tblPr>
      <w:tblCellMar>
        <w:left w:w="0" w:type="dxa"/>
        <w:top w:w="0" w:type="dxa"/>
        <w:right w:w="0" w:type="dxa"/>
        <w:bottom w:w="0" w:type="dxa"/>
      </w:tblCellMar>
    </w:tblPr>
  </w:style>
  <w:style w:type="table" w:styleId="1075" w:customStyle="1">
    <w:name w:val="无格式表格 31"/>
    <w:uiPriority w:val="99"/>
    <w:qFormat/>
    <w:tblPr>
      <w:tblCellMar>
        <w:left w:w="0" w:type="dxa"/>
        <w:top w:w="0" w:type="dxa"/>
        <w:right w:w="0" w:type="dxa"/>
        <w:bottom w:w="0" w:type="dxa"/>
      </w:tblCellMar>
    </w:tblPr>
  </w:style>
  <w:style w:type="table" w:styleId="1076" w:customStyle="1">
    <w:name w:val="无格式表格 41"/>
    <w:uiPriority w:val="99"/>
    <w:qFormat/>
    <w:tblPr>
      <w:tblCellMar>
        <w:left w:w="0" w:type="dxa"/>
        <w:top w:w="0" w:type="dxa"/>
        <w:right w:w="0" w:type="dxa"/>
        <w:bottom w:w="0" w:type="dxa"/>
      </w:tblCellMar>
    </w:tblPr>
  </w:style>
  <w:style w:type="table" w:styleId="1077" w:customStyle="1">
    <w:name w:val="无格式表格 51"/>
    <w:uiPriority w:val="99"/>
    <w:qFormat/>
    <w:tblPr>
      <w:tblCellMar>
        <w:left w:w="0" w:type="dxa"/>
        <w:top w:w="0" w:type="dxa"/>
        <w:right w:w="0" w:type="dxa"/>
        <w:bottom w:w="0" w:type="dxa"/>
      </w:tblCellMar>
    </w:tblPr>
  </w:style>
  <w:style w:type="table" w:styleId="1078" w:customStyle="1">
    <w:name w:val="网格表 1 浅色1"/>
    <w:uiPriority w:val="99"/>
    <w:qFormat/>
    <w:tblPr>
      <w:tblCellMar>
        <w:left w:w="0" w:type="dxa"/>
        <w:top w:w="0" w:type="dxa"/>
        <w:right w:w="0" w:type="dxa"/>
        <w:bottom w:w="0" w:type="dxa"/>
      </w:tblCellMar>
    </w:tblPr>
  </w:style>
  <w:style w:type="table" w:styleId="1079" w:customStyle="1">
    <w:name w:val="Grid Table 1 Light - Accent 1"/>
    <w:uiPriority w:val="99"/>
    <w:qFormat/>
    <w:tblPr>
      <w:tblCellMar>
        <w:left w:w="0" w:type="dxa"/>
        <w:top w:w="0" w:type="dxa"/>
        <w:right w:w="0" w:type="dxa"/>
        <w:bottom w:w="0" w:type="dxa"/>
      </w:tblCellMar>
    </w:tblPr>
  </w:style>
  <w:style w:type="table" w:styleId="1080" w:customStyle="1">
    <w:name w:val="Grid Table 1 Light - Accent 2"/>
    <w:uiPriority w:val="99"/>
    <w:qFormat/>
    <w:tblPr>
      <w:tblCellMar>
        <w:left w:w="0" w:type="dxa"/>
        <w:top w:w="0" w:type="dxa"/>
        <w:right w:w="0" w:type="dxa"/>
        <w:bottom w:w="0" w:type="dxa"/>
      </w:tblCellMar>
    </w:tblPr>
  </w:style>
  <w:style w:type="table" w:styleId="1081" w:customStyle="1">
    <w:name w:val="Grid Table 1 Light - Accent 3"/>
    <w:uiPriority w:val="99"/>
    <w:qFormat/>
    <w:tblPr>
      <w:tblCellMar>
        <w:left w:w="0" w:type="dxa"/>
        <w:top w:w="0" w:type="dxa"/>
        <w:right w:w="0" w:type="dxa"/>
        <w:bottom w:w="0" w:type="dxa"/>
      </w:tblCellMar>
    </w:tblPr>
  </w:style>
  <w:style w:type="table" w:styleId="1082" w:customStyle="1">
    <w:name w:val="Grid Table 1 Light - Accent 4"/>
    <w:uiPriority w:val="99"/>
    <w:qFormat/>
    <w:tblPr>
      <w:tblCellMar>
        <w:left w:w="0" w:type="dxa"/>
        <w:top w:w="0" w:type="dxa"/>
        <w:right w:w="0" w:type="dxa"/>
        <w:bottom w:w="0" w:type="dxa"/>
      </w:tblCellMar>
    </w:tblPr>
  </w:style>
  <w:style w:type="table" w:styleId="1083" w:customStyle="1">
    <w:name w:val="Grid Table 1 Light - Accent 5"/>
    <w:uiPriority w:val="99"/>
    <w:qFormat/>
    <w:tblPr>
      <w:tblCellMar>
        <w:left w:w="0" w:type="dxa"/>
        <w:top w:w="0" w:type="dxa"/>
        <w:right w:w="0" w:type="dxa"/>
        <w:bottom w:w="0" w:type="dxa"/>
      </w:tblCellMar>
    </w:tblPr>
  </w:style>
  <w:style w:type="table" w:styleId="1084" w:customStyle="1">
    <w:name w:val="Grid Table 1 Light - Accent 6"/>
    <w:uiPriority w:val="99"/>
    <w:qFormat/>
    <w:tblPr>
      <w:tblCellMar>
        <w:left w:w="0" w:type="dxa"/>
        <w:top w:w="0" w:type="dxa"/>
        <w:right w:w="0" w:type="dxa"/>
        <w:bottom w:w="0" w:type="dxa"/>
      </w:tblCellMar>
    </w:tblPr>
  </w:style>
  <w:style w:type="table" w:styleId="1085" w:customStyle="1">
    <w:name w:val="网格表 21"/>
    <w:uiPriority w:val="99"/>
    <w:qFormat/>
    <w:tblPr>
      <w:tblCellMar>
        <w:left w:w="0" w:type="dxa"/>
        <w:top w:w="0" w:type="dxa"/>
        <w:right w:w="0" w:type="dxa"/>
        <w:bottom w:w="0" w:type="dxa"/>
      </w:tblCellMar>
    </w:tblPr>
  </w:style>
  <w:style w:type="table" w:styleId="1086" w:customStyle="1">
    <w:name w:val="Grid Table 2 - Accent 1"/>
    <w:uiPriority w:val="99"/>
    <w:qFormat/>
    <w:tblPr>
      <w:tblCellMar>
        <w:left w:w="0" w:type="dxa"/>
        <w:top w:w="0" w:type="dxa"/>
        <w:right w:w="0" w:type="dxa"/>
        <w:bottom w:w="0" w:type="dxa"/>
      </w:tblCellMar>
    </w:tblPr>
  </w:style>
  <w:style w:type="table" w:styleId="1087" w:customStyle="1">
    <w:name w:val="Grid Table 2 - Accent 2"/>
    <w:uiPriority w:val="99"/>
    <w:qFormat/>
    <w:tblPr>
      <w:tblCellMar>
        <w:left w:w="0" w:type="dxa"/>
        <w:top w:w="0" w:type="dxa"/>
        <w:right w:w="0" w:type="dxa"/>
        <w:bottom w:w="0" w:type="dxa"/>
      </w:tblCellMar>
    </w:tblPr>
  </w:style>
  <w:style w:type="table" w:styleId="1088" w:customStyle="1">
    <w:name w:val="Grid Table 2 - Accent 3"/>
    <w:uiPriority w:val="99"/>
    <w:qFormat/>
    <w:tblPr>
      <w:tblCellMar>
        <w:left w:w="0" w:type="dxa"/>
        <w:top w:w="0" w:type="dxa"/>
        <w:right w:w="0" w:type="dxa"/>
        <w:bottom w:w="0" w:type="dxa"/>
      </w:tblCellMar>
    </w:tblPr>
  </w:style>
  <w:style w:type="table" w:styleId="1089" w:customStyle="1">
    <w:name w:val="Grid Table 2 - Accent 4"/>
    <w:uiPriority w:val="99"/>
    <w:qFormat/>
    <w:tblPr>
      <w:tblCellMar>
        <w:left w:w="0" w:type="dxa"/>
        <w:top w:w="0" w:type="dxa"/>
        <w:right w:w="0" w:type="dxa"/>
        <w:bottom w:w="0" w:type="dxa"/>
      </w:tblCellMar>
    </w:tblPr>
  </w:style>
  <w:style w:type="table" w:styleId="1090" w:customStyle="1">
    <w:name w:val="Grid Table 2 - Accent 5"/>
    <w:uiPriority w:val="99"/>
    <w:qFormat/>
    <w:tblPr>
      <w:tblCellMar>
        <w:left w:w="0" w:type="dxa"/>
        <w:top w:w="0" w:type="dxa"/>
        <w:right w:w="0" w:type="dxa"/>
        <w:bottom w:w="0" w:type="dxa"/>
      </w:tblCellMar>
    </w:tblPr>
  </w:style>
  <w:style w:type="table" w:styleId="1091" w:customStyle="1">
    <w:name w:val="Grid Table 2 - Accent 6"/>
    <w:uiPriority w:val="99"/>
    <w:qFormat/>
    <w:tblPr>
      <w:tblCellMar>
        <w:left w:w="0" w:type="dxa"/>
        <w:top w:w="0" w:type="dxa"/>
        <w:right w:w="0" w:type="dxa"/>
        <w:bottom w:w="0" w:type="dxa"/>
      </w:tblCellMar>
    </w:tblPr>
  </w:style>
  <w:style w:type="table" w:styleId="1092" w:customStyle="1">
    <w:name w:val="网格表 31"/>
    <w:uiPriority w:val="99"/>
    <w:qFormat/>
    <w:tblPr>
      <w:tblCellMar>
        <w:left w:w="0" w:type="dxa"/>
        <w:top w:w="0" w:type="dxa"/>
        <w:right w:w="0" w:type="dxa"/>
        <w:bottom w:w="0" w:type="dxa"/>
      </w:tblCellMar>
    </w:tblPr>
  </w:style>
  <w:style w:type="table" w:styleId="1093" w:customStyle="1">
    <w:name w:val="Grid Table 3 - Accent 1"/>
    <w:uiPriority w:val="99"/>
    <w:qFormat/>
    <w:tblPr>
      <w:tblCellMar>
        <w:left w:w="0" w:type="dxa"/>
        <w:top w:w="0" w:type="dxa"/>
        <w:right w:w="0" w:type="dxa"/>
        <w:bottom w:w="0" w:type="dxa"/>
      </w:tblCellMar>
    </w:tblPr>
  </w:style>
  <w:style w:type="table" w:styleId="1094" w:customStyle="1">
    <w:name w:val="Grid Table 3 - Accent 2"/>
    <w:uiPriority w:val="99"/>
    <w:qFormat/>
    <w:tblPr>
      <w:tblCellMar>
        <w:left w:w="0" w:type="dxa"/>
        <w:top w:w="0" w:type="dxa"/>
        <w:right w:w="0" w:type="dxa"/>
        <w:bottom w:w="0" w:type="dxa"/>
      </w:tblCellMar>
    </w:tblPr>
  </w:style>
  <w:style w:type="table" w:styleId="1095" w:customStyle="1">
    <w:name w:val="Grid Table 3 - Accent 3"/>
    <w:uiPriority w:val="99"/>
    <w:qFormat/>
    <w:tblPr>
      <w:tblCellMar>
        <w:left w:w="0" w:type="dxa"/>
        <w:top w:w="0" w:type="dxa"/>
        <w:right w:w="0" w:type="dxa"/>
        <w:bottom w:w="0" w:type="dxa"/>
      </w:tblCellMar>
    </w:tblPr>
  </w:style>
  <w:style w:type="table" w:styleId="1096" w:customStyle="1">
    <w:name w:val="Grid Table 3 - Accent 4"/>
    <w:uiPriority w:val="99"/>
    <w:qFormat/>
    <w:tblPr>
      <w:tblCellMar>
        <w:left w:w="0" w:type="dxa"/>
        <w:top w:w="0" w:type="dxa"/>
        <w:right w:w="0" w:type="dxa"/>
        <w:bottom w:w="0" w:type="dxa"/>
      </w:tblCellMar>
    </w:tblPr>
  </w:style>
  <w:style w:type="table" w:styleId="1097" w:customStyle="1">
    <w:name w:val="Grid Table 3 - Accent 5"/>
    <w:uiPriority w:val="99"/>
    <w:qFormat/>
    <w:tblPr>
      <w:tblCellMar>
        <w:left w:w="0" w:type="dxa"/>
        <w:top w:w="0" w:type="dxa"/>
        <w:right w:w="0" w:type="dxa"/>
        <w:bottom w:w="0" w:type="dxa"/>
      </w:tblCellMar>
    </w:tblPr>
  </w:style>
  <w:style w:type="table" w:styleId="1098" w:customStyle="1">
    <w:name w:val="Grid Table 3 - Accent 6"/>
    <w:uiPriority w:val="99"/>
    <w:qFormat/>
    <w:tblPr>
      <w:tblCellMar>
        <w:left w:w="0" w:type="dxa"/>
        <w:top w:w="0" w:type="dxa"/>
        <w:right w:w="0" w:type="dxa"/>
        <w:bottom w:w="0" w:type="dxa"/>
      </w:tblCellMar>
    </w:tblPr>
  </w:style>
  <w:style w:type="table" w:styleId="1099" w:customStyle="1">
    <w:name w:val="网格表 41"/>
    <w:uiPriority w:val="59"/>
    <w:qFormat/>
    <w:tblPr>
      <w:tblCellMar>
        <w:left w:w="0" w:type="dxa"/>
        <w:top w:w="0" w:type="dxa"/>
        <w:right w:w="0" w:type="dxa"/>
        <w:bottom w:w="0" w:type="dxa"/>
      </w:tblCellMar>
    </w:tblPr>
  </w:style>
  <w:style w:type="table" w:styleId="1100" w:customStyle="1">
    <w:name w:val="Grid Table 4 - Accent 1"/>
    <w:uiPriority w:val="59"/>
    <w:qFormat/>
    <w:tblPr>
      <w:tblCellMar>
        <w:left w:w="0" w:type="dxa"/>
        <w:top w:w="0" w:type="dxa"/>
        <w:right w:w="0" w:type="dxa"/>
        <w:bottom w:w="0" w:type="dxa"/>
      </w:tblCellMar>
    </w:tblPr>
  </w:style>
  <w:style w:type="table" w:styleId="1101" w:customStyle="1">
    <w:name w:val="Grid Table 4 - Accent 2"/>
    <w:uiPriority w:val="59"/>
    <w:qFormat/>
    <w:tblPr>
      <w:tblCellMar>
        <w:left w:w="0" w:type="dxa"/>
        <w:top w:w="0" w:type="dxa"/>
        <w:right w:w="0" w:type="dxa"/>
        <w:bottom w:w="0" w:type="dxa"/>
      </w:tblCellMar>
    </w:tblPr>
  </w:style>
  <w:style w:type="table" w:styleId="1102" w:customStyle="1">
    <w:name w:val="Grid Table 4 - Accent 3"/>
    <w:uiPriority w:val="59"/>
    <w:qFormat/>
    <w:tblPr>
      <w:tblCellMar>
        <w:left w:w="0" w:type="dxa"/>
        <w:top w:w="0" w:type="dxa"/>
        <w:right w:w="0" w:type="dxa"/>
        <w:bottom w:w="0" w:type="dxa"/>
      </w:tblCellMar>
    </w:tblPr>
  </w:style>
  <w:style w:type="table" w:styleId="1103" w:customStyle="1">
    <w:name w:val="Grid Table 4 - Accent 4"/>
    <w:uiPriority w:val="59"/>
    <w:qFormat/>
    <w:tblPr>
      <w:tblCellMar>
        <w:left w:w="0" w:type="dxa"/>
        <w:top w:w="0" w:type="dxa"/>
        <w:right w:w="0" w:type="dxa"/>
        <w:bottom w:w="0" w:type="dxa"/>
      </w:tblCellMar>
    </w:tblPr>
  </w:style>
  <w:style w:type="table" w:styleId="1104" w:customStyle="1">
    <w:name w:val="Grid Table 4 - Accent 5"/>
    <w:uiPriority w:val="59"/>
    <w:qFormat/>
    <w:tblPr>
      <w:tblCellMar>
        <w:left w:w="0" w:type="dxa"/>
        <w:top w:w="0" w:type="dxa"/>
        <w:right w:w="0" w:type="dxa"/>
        <w:bottom w:w="0" w:type="dxa"/>
      </w:tblCellMar>
    </w:tblPr>
  </w:style>
  <w:style w:type="table" w:styleId="1105" w:customStyle="1">
    <w:name w:val="Grid Table 4 - Accent 6"/>
    <w:uiPriority w:val="59"/>
    <w:qFormat/>
    <w:tblPr>
      <w:tblCellMar>
        <w:left w:w="0" w:type="dxa"/>
        <w:top w:w="0" w:type="dxa"/>
        <w:right w:w="0" w:type="dxa"/>
        <w:bottom w:w="0" w:type="dxa"/>
      </w:tblCellMar>
    </w:tblPr>
  </w:style>
  <w:style w:type="table" w:styleId="1106" w:customStyle="1">
    <w:name w:val="网格表 5 深色1"/>
    <w:uiPriority w:val="99"/>
    <w:qFormat/>
    <w:tblPr>
      <w:tblCellMar>
        <w:left w:w="0" w:type="dxa"/>
        <w:top w:w="0" w:type="dxa"/>
        <w:right w:w="0" w:type="dxa"/>
        <w:bottom w:w="0" w:type="dxa"/>
      </w:tblCellMar>
    </w:tblPr>
  </w:style>
  <w:style w:type="table" w:styleId="1107" w:customStyle="1">
    <w:name w:val="Grid Table 5 Dark- Accent 1"/>
    <w:uiPriority w:val="99"/>
    <w:qFormat/>
    <w:tblPr>
      <w:tblCellMar>
        <w:left w:w="0" w:type="dxa"/>
        <w:top w:w="0" w:type="dxa"/>
        <w:right w:w="0" w:type="dxa"/>
        <w:bottom w:w="0" w:type="dxa"/>
      </w:tblCellMar>
    </w:tblPr>
  </w:style>
  <w:style w:type="table" w:styleId="1108" w:customStyle="1">
    <w:name w:val="Grid Table 5 Dark - Accent 2"/>
    <w:uiPriority w:val="99"/>
    <w:qFormat/>
    <w:tblPr>
      <w:tblCellMar>
        <w:left w:w="0" w:type="dxa"/>
        <w:top w:w="0" w:type="dxa"/>
        <w:right w:w="0" w:type="dxa"/>
        <w:bottom w:w="0" w:type="dxa"/>
      </w:tblCellMar>
    </w:tblPr>
  </w:style>
  <w:style w:type="table" w:styleId="1109" w:customStyle="1">
    <w:name w:val="Grid Table 5 Dark - Accent 3"/>
    <w:uiPriority w:val="99"/>
    <w:qFormat/>
    <w:tblPr>
      <w:tblCellMar>
        <w:left w:w="0" w:type="dxa"/>
        <w:top w:w="0" w:type="dxa"/>
        <w:right w:w="0" w:type="dxa"/>
        <w:bottom w:w="0" w:type="dxa"/>
      </w:tblCellMar>
    </w:tblPr>
  </w:style>
  <w:style w:type="table" w:styleId="1110" w:customStyle="1">
    <w:name w:val="Grid Table 5 Dark- Accent 4"/>
    <w:uiPriority w:val="99"/>
    <w:qFormat/>
    <w:tblPr>
      <w:tblCellMar>
        <w:left w:w="0" w:type="dxa"/>
        <w:top w:w="0" w:type="dxa"/>
        <w:right w:w="0" w:type="dxa"/>
        <w:bottom w:w="0" w:type="dxa"/>
      </w:tblCellMar>
    </w:tblPr>
  </w:style>
  <w:style w:type="table" w:styleId="1111" w:customStyle="1">
    <w:name w:val="Grid Table 5 Dark - Accent 5"/>
    <w:uiPriority w:val="99"/>
    <w:qFormat/>
    <w:tblPr>
      <w:tblCellMar>
        <w:left w:w="0" w:type="dxa"/>
        <w:top w:w="0" w:type="dxa"/>
        <w:right w:w="0" w:type="dxa"/>
        <w:bottom w:w="0" w:type="dxa"/>
      </w:tblCellMar>
    </w:tblPr>
  </w:style>
  <w:style w:type="table" w:styleId="1112" w:customStyle="1">
    <w:name w:val="Grid Table 5 Dark - Accent 6"/>
    <w:uiPriority w:val="99"/>
    <w:qFormat/>
    <w:tblPr>
      <w:tblCellMar>
        <w:left w:w="0" w:type="dxa"/>
        <w:top w:w="0" w:type="dxa"/>
        <w:right w:w="0" w:type="dxa"/>
        <w:bottom w:w="0" w:type="dxa"/>
      </w:tblCellMar>
    </w:tblPr>
  </w:style>
  <w:style w:type="table" w:styleId="1113" w:customStyle="1">
    <w:name w:val="网格表 6 彩色1"/>
    <w:uiPriority w:val="99"/>
    <w:qFormat/>
    <w:tblPr>
      <w:tblCellMar>
        <w:left w:w="0" w:type="dxa"/>
        <w:top w:w="0" w:type="dxa"/>
        <w:right w:w="0" w:type="dxa"/>
        <w:bottom w:w="0" w:type="dxa"/>
      </w:tblCellMar>
    </w:tblPr>
  </w:style>
  <w:style w:type="table" w:styleId="1114" w:customStyle="1">
    <w:name w:val="Grid Table 6 Colorful - Accent 1"/>
    <w:uiPriority w:val="99"/>
    <w:qFormat/>
    <w:tblPr>
      <w:tblCellMar>
        <w:left w:w="0" w:type="dxa"/>
        <w:top w:w="0" w:type="dxa"/>
        <w:right w:w="0" w:type="dxa"/>
        <w:bottom w:w="0" w:type="dxa"/>
      </w:tblCellMar>
    </w:tblPr>
  </w:style>
  <w:style w:type="table" w:styleId="1115" w:customStyle="1">
    <w:name w:val="Grid Table 6 Colorful - Accent 2"/>
    <w:uiPriority w:val="99"/>
    <w:qFormat/>
    <w:tblPr>
      <w:tblCellMar>
        <w:left w:w="0" w:type="dxa"/>
        <w:top w:w="0" w:type="dxa"/>
        <w:right w:w="0" w:type="dxa"/>
        <w:bottom w:w="0" w:type="dxa"/>
      </w:tblCellMar>
    </w:tblPr>
  </w:style>
  <w:style w:type="table" w:styleId="1116" w:customStyle="1">
    <w:name w:val="Grid Table 6 Colorful - Accent 3"/>
    <w:uiPriority w:val="99"/>
    <w:qFormat/>
    <w:tblPr>
      <w:tblCellMar>
        <w:left w:w="0" w:type="dxa"/>
        <w:top w:w="0" w:type="dxa"/>
        <w:right w:w="0" w:type="dxa"/>
        <w:bottom w:w="0" w:type="dxa"/>
      </w:tblCellMar>
    </w:tblPr>
  </w:style>
  <w:style w:type="table" w:styleId="1117" w:customStyle="1">
    <w:name w:val="Grid Table 6 Colorful - Accent 4"/>
    <w:uiPriority w:val="99"/>
    <w:qFormat/>
    <w:tblPr>
      <w:tblCellMar>
        <w:left w:w="0" w:type="dxa"/>
        <w:top w:w="0" w:type="dxa"/>
        <w:right w:w="0" w:type="dxa"/>
        <w:bottom w:w="0" w:type="dxa"/>
      </w:tblCellMar>
    </w:tblPr>
  </w:style>
  <w:style w:type="table" w:styleId="1118" w:customStyle="1">
    <w:name w:val="Grid Table 6 Colorful - Accent 5"/>
    <w:uiPriority w:val="99"/>
    <w:qFormat/>
    <w:tblPr>
      <w:tblCellMar>
        <w:left w:w="0" w:type="dxa"/>
        <w:top w:w="0" w:type="dxa"/>
        <w:right w:w="0" w:type="dxa"/>
        <w:bottom w:w="0" w:type="dxa"/>
      </w:tblCellMar>
    </w:tblPr>
  </w:style>
  <w:style w:type="table" w:styleId="1119" w:customStyle="1">
    <w:name w:val="Grid Table 6 Colorful - Accent 6"/>
    <w:uiPriority w:val="99"/>
    <w:qFormat/>
    <w:tblPr>
      <w:tblCellMar>
        <w:left w:w="0" w:type="dxa"/>
        <w:top w:w="0" w:type="dxa"/>
        <w:right w:w="0" w:type="dxa"/>
        <w:bottom w:w="0" w:type="dxa"/>
      </w:tblCellMar>
    </w:tblPr>
  </w:style>
  <w:style w:type="table" w:styleId="1120" w:customStyle="1">
    <w:name w:val="网格表 7 彩色1"/>
    <w:uiPriority w:val="99"/>
    <w:qFormat/>
    <w:tblPr>
      <w:tblCellMar>
        <w:left w:w="0" w:type="dxa"/>
        <w:top w:w="0" w:type="dxa"/>
        <w:right w:w="0" w:type="dxa"/>
        <w:bottom w:w="0" w:type="dxa"/>
      </w:tblCellMar>
    </w:tblPr>
  </w:style>
  <w:style w:type="table" w:styleId="1121" w:customStyle="1">
    <w:name w:val="Grid Table 7 Colorful - Accent 1"/>
    <w:uiPriority w:val="99"/>
    <w:qFormat/>
    <w:tblPr>
      <w:tblCellMar>
        <w:left w:w="0" w:type="dxa"/>
        <w:top w:w="0" w:type="dxa"/>
        <w:right w:w="0" w:type="dxa"/>
        <w:bottom w:w="0" w:type="dxa"/>
      </w:tblCellMar>
    </w:tblPr>
  </w:style>
  <w:style w:type="table" w:styleId="1122" w:customStyle="1">
    <w:name w:val="Grid Table 7 Colorful - Accent 2"/>
    <w:uiPriority w:val="99"/>
    <w:qFormat/>
    <w:tblPr>
      <w:tblCellMar>
        <w:left w:w="0" w:type="dxa"/>
        <w:top w:w="0" w:type="dxa"/>
        <w:right w:w="0" w:type="dxa"/>
        <w:bottom w:w="0" w:type="dxa"/>
      </w:tblCellMar>
    </w:tblPr>
  </w:style>
  <w:style w:type="table" w:styleId="1123" w:customStyle="1">
    <w:name w:val="Grid Table 7 Colorful - Accent 3"/>
    <w:uiPriority w:val="99"/>
    <w:qFormat/>
    <w:tblPr>
      <w:tblCellMar>
        <w:left w:w="0" w:type="dxa"/>
        <w:top w:w="0" w:type="dxa"/>
        <w:right w:w="0" w:type="dxa"/>
        <w:bottom w:w="0" w:type="dxa"/>
      </w:tblCellMar>
    </w:tblPr>
  </w:style>
  <w:style w:type="table" w:styleId="1124" w:customStyle="1">
    <w:name w:val="Grid Table 7 Colorful - Accent 4"/>
    <w:uiPriority w:val="99"/>
    <w:qFormat/>
    <w:tblPr>
      <w:tblCellMar>
        <w:left w:w="0" w:type="dxa"/>
        <w:top w:w="0" w:type="dxa"/>
        <w:right w:w="0" w:type="dxa"/>
        <w:bottom w:w="0" w:type="dxa"/>
      </w:tblCellMar>
    </w:tblPr>
  </w:style>
  <w:style w:type="table" w:styleId="1125" w:customStyle="1">
    <w:name w:val="Grid Table 7 Colorful - Accent 5"/>
    <w:uiPriority w:val="99"/>
    <w:qFormat/>
    <w:tblPr>
      <w:tblCellMar>
        <w:left w:w="0" w:type="dxa"/>
        <w:top w:w="0" w:type="dxa"/>
        <w:right w:w="0" w:type="dxa"/>
        <w:bottom w:w="0" w:type="dxa"/>
      </w:tblCellMar>
    </w:tblPr>
  </w:style>
  <w:style w:type="table" w:styleId="1126" w:customStyle="1">
    <w:name w:val="Grid Table 7 Colorful - Accent 6"/>
    <w:uiPriority w:val="99"/>
    <w:qFormat/>
    <w:tblPr>
      <w:tblCellMar>
        <w:left w:w="0" w:type="dxa"/>
        <w:top w:w="0" w:type="dxa"/>
        <w:right w:w="0" w:type="dxa"/>
        <w:bottom w:w="0" w:type="dxa"/>
      </w:tblCellMar>
    </w:tblPr>
  </w:style>
  <w:style w:type="table" w:styleId="1127" w:customStyle="1">
    <w:name w:val="清单表 1 浅色1"/>
    <w:uiPriority w:val="99"/>
    <w:qFormat/>
    <w:tblPr>
      <w:tblCellMar>
        <w:left w:w="0" w:type="dxa"/>
        <w:top w:w="0" w:type="dxa"/>
        <w:right w:w="0" w:type="dxa"/>
        <w:bottom w:w="0" w:type="dxa"/>
      </w:tblCellMar>
    </w:tblPr>
  </w:style>
  <w:style w:type="table" w:styleId="1128" w:customStyle="1">
    <w:name w:val="List Table 1 Light - Accent 1"/>
    <w:uiPriority w:val="99"/>
    <w:qFormat/>
    <w:tblPr>
      <w:tblCellMar>
        <w:left w:w="0" w:type="dxa"/>
        <w:top w:w="0" w:type="dxa"/>
        <w:right w:w="0" w:type="dxa"/>
        <w:bottom w:w="0" w:type="dxa"/>
      </w:tblCellMar>
    </w:tblPr>
  </w:style>
  <w:style w:type="table" w:styleId="1129" w:customStyle="1">
    <w:name w:val="List Table 1 Light - Accent 2"/>
    <w:uiPriority w:val="99"/>
    <w:qFormat/>
    <w:tblPr>
      <w:tblCellMar>
        <w:left w:w="0" w:type="dxa"/>
        <w:top w:w="0" w:type="dxa"/>
        <w:right w:w="0" w:type="dxa"/>
        <w:bottom w:w="0" w:type="dxa"/>
      </w:tblCellMar>
    </w:tblPr>
  </w:style>
  <w:style w:type="table" w:styleId="1130" w:customStyle="1">
    <w:name w:val="List Table 1 Light - Accent 3"/>
    <w:uiPriority w:val="99"/>
    <w:qFormat/>
    <w:tblPr>
      <w:tblCellMar>
        <w:left w:w="0" w:type="dxa"/>
        <w:top w:w="0" w:type="dxa"/>
        <w:right w:w="0" w:type="dxa"/>
        <w:bottom w:w="0" w:type="dxa"/>
      </w:tblCellMar>
    </w:tblPr>
  </w:style>
  <w:style w:type="table" w:styleId="1131" w:customStyle="1">
    <w:name w:val="List Table 1 Light - Accent 4"/>
    <w:uiPriority w:val="99"/>
    <w:qFormat/>
    <w:tblPr>
      <w:tblCellMar>
        <w:left w:w="0" w:type="dxa"/>
        <w:top w:w="0" w:type="dxa"/>
        <w:right w:w="0" w:type="dxa"/>
        <w:bottom w:w="0" w:type="dxa"/>
      </w:tblCellMar>
    </w:tblPr>
  </w:style>
  <w:style w:type="table" w:styleId="1132" w:customStyle="1">
    <w:name w:val="List Table 1 Light - Accent 5"/>
    <w:uiPriority w:val="99"/>
    <w:qFormat/>
    <w:tblPr>
      <w:tblCellMar>
        <w:left w:w="0" w:type="dxa"/>
        <w:top w:w="0" w:type="dxa"/>
        <w:right w:w="0" w:type="dxa"/>
        <w:bottom w:w="0" w:type="dxa"/>
      </w:tblCellMar>
    </w:tblPr>
  </w:style>
  <w:style w:type="table" w:styleId="1133" w:customStyle="1">
    <w:name w:val="List Table 1 Light - Accent 6"/>
    <w:uiPriority w:val="99"/>
    <w:qFormat/>
    <w:tblPr>
      <w:tblCellMar>
        <w:left w:w="0" w:type="dxa"/>
        <w:top w:w="0" w:type="dxa"/>
        <w:right w:w="0" w:type="dxa"/>
        <w:bottom w:w="0" w:type="dxa"/>
      </w:tblCellMar>
    </w:tblPr>
  </w:style>
  <w:style w:type="table" w:styleId="1134" w:customStyle="1">
    <w:name w:val="清单表 21"/>
    <w:uiPriority w:val="99"/>
    <w:qFormat/>
    <w:tblPr>
      <w:tblCellMar>
        <w:left w:w="0" w:type="dxa"/>
        <w:top w:w="0" w:type="dxa"/>
        <w:right w:w="0" w:type="dxa"/>
        <w:bottom w:w="0" w:type="dxa"/>
      </w:tblCellMar>
    </w:tblPr>
  </w:style>
  <w:style w:type="table" w:styleId="1135" w:customStyle="1">
    <w:name w:val="List Table 2 - Accent 1"/>
    <w:uiPriority w:val="99"/>
    <w:qFormat/>
    <w:tblPr>
      <w:tblCellMar>
        <w:left w:w="0" w:type="dxa"/>
        <w:top w:w="0" w:type="dxa"/>
        <w:right w:w="0" w:type="dxa"/>
        <w:bottom w:w="0" w:type="dxa"/>
      </w:tblCellMar>
    </w:tblPr>
  </w:style>
  <w:style w:type="table" w:styleId="1136" w:customStyle="1">
    <w:name w:val="List Table 2 - Accent 2"/>
    <w:uiPriority w:val="99"/>
    <w:qFormat/>
    <w:tblPr>
      <w:tblCellMar>
        <w:left w:w="0" w:type="dxa"/>
        <w:top w:w="0" w:type="dxa"/>
        <w:right w:w="0" w:type="dxa"/>
        <w:bottom w:w="0" w:type="dxa"/>
      </w:tblCellMar>
    </w:tblPr>
  </w:style>
  <w:style w:type="table" w:styleId="1137" w:customStyle="1">
    <w:name w:val="List Table 2 - Accent 3"/>
    <w:uiPriority w:val="99"/>
    <w:qFormat/>
    <w:tblPr>
      <w:tblCellMar>
        <w:left w:w="0" w:type="dxa"/>
        <w:top w:w="0" w:type="dxa"/>
        <w:right w:w="0" w:type="dxa"/>
        <w:bottom w:w="0" w:type="dxa"/>
      </w:tblCellMar>
    </w:tblPr>
  </w:style>
  <w:style w:type="table" w:styleId="1138" w:customStyle="1">
    <w:name w:val="List Table 2 - Accent 4"/>
    <w:uiPriority w:val="99"/>
    <w:qFormat/>
    <w:tblPr>
      <w:tblCellMar>
        <w:left w:w="0" w:type="dxa"/>
        <w:top w:w="0" w:type="dxa"/>
        <w:right w:w="0" w:type="dxa"/>
        <w:bottom w:w="0" w:type="dxa"/>
      </w:tblCellMar>
    </w:tblPr>
  </w:style>
  <w:style w:type="table" w:styleId="1139" w:customStyle="1">
    <w:name w:val="List Table 2 - Accent 5"/>
    <w:uiPriority w:val="99"/>
    <w:qFormat/>
    <w:tblPr>
      <w:tblCellMar>
        <w:left w:w="0" w:type="dxa"/>
        <w:top w:w="0" w:type="dxa"/>
        <w:right w:w="0" w:type="dxa"/>
        <w:bottom w:w="0" w:type="dxa"/>
      </w:tblCellMar>
    </w:tblPr>
  </w:style>
  <w:style w:type="table" w:styleId="1140" w:customStyle="1">
    <w:name w:val="List Table 2 - Accent 6"/>
    <w:uiPriority w:val="99"/>
    <w:qFormat/>
    <w:tblPr>
      <w:tblCellMar>
        <w:left w:w="0" w:type="dxa"/>
        <w:top w:w="0" w:type="dxa"/>
        <w:right w:w="0" w:type="dxa"/>
        <w:bottom w:w="0" w:type="dxa"/>
      </w:tblCellMar>
    </w:tblPr>
  </w:style>
  <w:style w:type="table" w:styleId="1141" w:customStyle="1">
    <w:name w:val="清单表 31"/>
    <w:uiPriority w:val="99"/>
    <w:qFormat/>
    <w:tblPr>
      <w:tblCellMar>
        <w:left w:w="0" w:type="dxa"/>
        <w:top w:w="0" w:type="dxa"/>
        <w:right w:w="0" w:type="dxa"/>
        <w:bottom w:w="0" w:type="dxa"/>
      </w:tblCellMar>
    </w:tblPr>
  </w:style>
  <w:style w:type="table" w:styleId="1142" w:customStyle="1">
    <w:name w:val="List Table 3 - Accent 1"/>
    <w:uiPriority w:val="99"/>
    <w:qFormat/>
    <w:tblPr>
      <w:tblCellMar>
        <w:left w:w="0" w:type="dxa"/>
        <w:top w:w="0" w:type="dxa"/>
        <w:right w:w="0" w:type="dxa"/>
        <w:bottom w:w="0" w:type="dxa"/>
      </w:tblCellMar>
    </w:tblPr>
  </w:style>
  <w:style w:type="table" w:styleId="1143" w:customStyle="1">
    <w:name w:val="List Table 3 - Accent 2"/>
    <w:uiPriority w:val="99"/>
    <w:qFormat/>
    <w:tblPr>
      <w:tblCellMar>
        <w:left w:w="0" w:type="dxa"/>
        <w:top w:w="0" w:type="dxa"/>
        <w:right w:w="0" w:type="dxa"/>
        <w:bottom w:w="0" w:type="dxa"/>
      </w:tblCellMar>
    </w:tblPr>
  </w:style>
  <w:style w:type="table" w:styleId="1144" w:customStyle="1">
    <w:name w:val="List Table 3 - Accent 3"/>
    <w:uiPriority w:val="99"/>
    <w:qFormat/>
    <w:tblPr>
      <w:tblCellMar>
        <w:left w:w="0" w:type="dxa"/>
        <w:top w:w="0" w:type="dxa"/>
        <w:right w:w="0" w:type="dxa"/>
        <w:bottom w:w="0" w:type="dxa"/>
      </w:tblCellMar>
    </w:tblPr>
  </w:style>
  <w:style w:type="table" w:styleId="1145" w:customStyle="1">
    <w:name w:val="List Table 3 - Accent 4"/>
    <w:uiPriority w:val="99"/>
    <w:qFormat/>
    <w:tblPr>
      <w:tblCellMar>
        <w:left w:w="0" w:type="dxa"/>
        <w:top w:w="0" w:type="dxa"/>
        <w:right w:w="0" w:type="dxa"/>
        <w:bottom w:w="0" w:type="dxa"/>
      </w:tblCellMar>
    </w:tblPr>
  </w:style>
  <w:style w:type="table" w:styleId="1146" w:customStyle="1">
    <w:name w:val="List Table 3 - Accent 5"/>
    <w:uiPriority w:val="99"/>
    <w:qFormat/>
    <w:tblPr>
      <w:tblCellMar>
        <w:left w:w="0" w:type="dxa"/>
        <w:top w:w="0" w:type="dxa"/>
        <w:right w:w="0" w:type="dxa"/>
        <w:bottom w:w="0" w:type="dxa"/>
      </w:tblCellMar>
    </w:tblPr>
  </w:style>
  <w:style w:type="table" w:styleId="1147" w:customStyle="1">
    <w:name w:val="List Table 3 - Accent 6"/>
    <w:uiPriority w:val="99"/>
    <w:qFormat/>
    <w:tblPr>
      <w:tblCellMar>
        <w:left w:w="0" w:type="dxa"/>
        <w:top w:w="0" w:type="dxa"/>
        <w:right w:w="0" w:type="dxa"/>
        <w:bottom w:w="0" w:type="dxa"/>
      </w:tblCellMar>
    </w:tblPr>
  </w:style>
  <w:style w:type="table" w:styleId="1148" w:customStyle="1">
    <w:name w:val="清单表 41"/>
    <w:uiPriority w:val="99"/>
    <w:qFormat/>
    <w:tblPr>
      <w:tblCellMar>
        <w:left w:w="0" w:type="dxa"/>
        <w:top w:w="0" w:type="dxa"/>
        <w:right w:w="0" w:type="dxa"/>
        <w:bottom w:w="0" w:type="dxa"/>
      </w:tblCellMar>
    </w:tblPr>
  </w:style>
  <w:style w:type="table" w:styleId="1149" w:customStyle="1">
    <w:name w:val="List Table 4 - Accent 1"/>
    <w:uiPriority w:val="99"/>
    <w:qFormat/>
    <w:tblPr>
      <w:tblCellMar>
        <w:left w:w="0" w:type="dxa"/>
        <w:top w:w="0" w:type="dxa"/>
        <w:right w:w="0" w:type="dxa"/>
        <w:bottom w:w="0" w:type="dxa"/>
      </w:tblCellMar>
    </w:tblPr>
  </w:style>
  <w:style w:type="table" w:styleId="1150" w:customStyle="1">
    <w:name w:val="List Table 4 - Accent 2"/>
    <w:uiPriority w:val="99"/>
    <w:qFormat/>
    <w:tblPr>
      <w:tblCellMar>
        <w:left w:w="0" w:type="dxa"/>
        <w:top w:w="0" w:type="dxa"/>
        <w:right w:w="0" w:type="dxa"/>
        <w:bottom w:w="0" w:type="dxa"/>
      </w:tblCellMar>
    </w:tblPr>
  </w:style>
  <w:style w:type="table" w:styleId="1151" w:customStyle="1">
    <w:name w:val="List Table 4 - Accent 3"/>
    <w:uiPriority w:val="99"/>
    <w:qFormat/>
    <w:tblPr>
      <w:tblCellMar>
        <w:left w:w="0" w:type="dxa"/>
        <w:top w:w="0" w:type="dxa"/>
        <w:right w:w="0" w:type="dxa"/>
        <w:bottom w:w="0" w:type="dxa"/>
      </w:tblCellMar>
    </w:tblPr>
  </w:style>
  <w:style w:type="table" w:styleId="1152" w:customStyle="1">
    <w:name w:val="List Table 4 - Accent 4"/>
    <w:uiPriority w:val="99"/>
    <w:qFormat/>
    <w:tblPr>
      <w:tblCellMar>
        <w:left w:w="0" w:type="dxa"/>
        <w:top w:w="0" w:type="dxa"/>
        <w:right w:w="0" w:type="dxa"/>
        <w:bottom w:w="0" w:type="dxa"/>
      </w:tblCellMar>
    </w:tblPr>
  </w:style>
  <w:style w:type="table" w:styleId="1153" w:customStyle="1">
    <w:name w:val="List Table 4 - Accent 5"/>
    <w:uiPriority w:val="99"/>
    <w:qFormat/>
    <w:tblPr>
      <w:tblCellMar>
        <w:left w:w="0" w:type="dxa"/>
        <w:top w:w="0" w:type="dxa"/>
        <w:right w:w="0" w:type="dxa"/>
        <w:bottom w:w="0" w:type="dxa"/>
      </w:tblCellMar>
    </w:tblPr>
  </w:style>
  <w:style w:type="table" w:styleId="1154" w:customStyle="1">
    <w:name w:val="List Table 4 - Accent 6"/>
    <w:uiPriority w:val="99"/>
    <w:qFormat/>
    <w:tblPr>
      <w:tblCellMar>
        <w:left w:w="0" w:type="dxa"/>
        <w:top w:w="0" w:type="dxa"/>
        <w:right w:w="0" w:type="dxa"/>
        <w:bottom w:w="0" w:type="dxa"/>
      </w:tblCellMar>
    </w:tblPr>
  </w:style>
  <w:style w:type="table" w:styleId="1155" w:customStyle="1">
    <w:name w:val="清单表 5 深色1"/>
    <w:uiPriority w:val="99"/>
    <w:qFormat/>
    <w:tblPr>
      <w:tblCellMar>
        <w:left w:w="0" w:type="dxa"/>
        <w:top w:w="0" w:type="dxa"/>
        <w:right w:w="0" w:type="dxa"/>
        <w:bottom w:w="0" w:type="dxa"/>
      </w:tblCellMar>
    </w:tblPr>
  </w:style>
  <w:style w:type="table" w:styleId="1156" w:customStyle="1">
    <w:name w:val="List Table 5 Dark - Accent 1"/>
    <w:uiPriority w:val="99"/>
    <w:qFormat/>
    <w:tblPr>
      <w:tblCellMar>
        <w:left w:w="0" w:type="dxa"/>
        <w:top w:w="0" w:type="dxa"/>
        <w:right w:w="0" w:type="dxa"/>
        <w:bottom w:w="0" w:type="dxa"/>
      </w:tblCellMar>
    </w:tblPr>
  </w:style>
  <w:style w:type="table" w:styleId="1157" w:customStyle="1">
    <w:name w:val="List Table 5 Dark - Accent 2"/>
    <w:uiPriority w:val="99"/>
    <w:qFormat/>
    <w:tblPr>
      <w:tblCellMar>
        <w:left w:w="0" w:type="dxa"/>
        <w:top w:w="0" w:type="dxa"/>
        <w:right w:w="0" w:type="dxa"/>
        <w:bottom w:w="0" w:type="dxa"/>
      </w:tblCellMar>
    </w:tblPr>
  </w:style>
  <w:style w:type="table" w:styleId="1158" w:customStyle="1">
    <w:name w:val="List Table 5 Dark - Accent 3"/>
    <w:uiPriority w:val="99"/>
    <w:qFormat/>
    <w:tblPr>
      <w:tblCellMar>
        <w:left w:w="0" w:type="dxa"/>
        <w:top w:w="0" w:type="dxa"/>
        <w:right w:w="0" w:type="dxa"/>
        <w:bottom w:w="0" w:type="dxa"/>
      </w:tblCellMar>
    </w:tblPr>
  </w:style>
  <w:style w:type="table" w:styleId="1159" w:customStyle="1">
    <w:name w:val="List Table 5 Dark - Accent 4"/>
    <w:uiPriority w:val="99"/>
    <w:qFormat/>
    <w:tblPr>
      <w:tblCellMar>
        <w:left w:w="0" w:type="dxa"/>
        <w:top w:w="0" w:type="dxa"/>
        <w:right w:w="0" w:type="dxa"/>
        <w:bottom w:w="0" w:type="dxa"/>
      </w:tblCellMar>
    </w:tblPr>
  </w:style>
  <w:style w:type="table" w:styleId="1160" w:customStyle="1">
    <w:name w:val="List Table 5 Dark - Accent 5"/>
    <w:uiPriority w:val="99"/>
    <w:qFormat/>
    <w:tblPr>
      <w:tblCellMar>
        <w:left w:w="0" w:type="dxa"/>
        <w:top w:w="0" w:type="dxa"/>
        <w:right w:w="0" w:type="dxa"/>
        <w:bottom w:w="0" w:type="dxa"/>
      </w:tblCellMar>
    </w:tblPr>
  </w:style>
  <w:style w:type="table" w:styleId="1161" w:customStyle="1">
    <w:name w:val="List Table 5 Dark - Accent 6"/>
    <w:uiPriority w:val="99"/>
    <w:qFormat/>
    <w:tblPr>
      <w:tblCellMar>
        <w:left w:w="0" w:type="dxa"/>
        <w:top w:w="0" w:type="dxa"/>
        <w:right w:w="0" w:type="dxa"/>
        <w:bottom w:w="0" w:type="dxa"/>
      </w:tblCellMar>
    </w:tblPr>
  </w:style>
  <w:style w:type="table" w:styleId="1162" w:customStyle="1">
    <w:name w:val="清单表 6 彩色1"/>
    <w:uiPriority w:val="99"/>
    <w:qFormat/>
    <w:tblPr>
      <w:tblCellMar>
        <w:left w:w="0" w:type="dxa"/>
        <w:top w:w="0" w:type="dxa"/>
        <w:right w:w="0" w:type="dxa"/>
        <w:bottom w:w="0" w:type="dxa"/>
      </w:tblCellMar>
    </w:tblPr>
  </w:style>
  <w:style w:type="table" w:styleId="1163" w:customStyle="1">
    <w:name w:val="List Table 6 Colorful - Accent 1"/>
    <w:uiPriority w:val="99"/>
    <w:qFormat/>
    <w:tblPr>
      <w:tblCellMar>
        <w:left w:w="0" w:type="dxa"/>
        <w:top w:w="0" w:type="dxa"/>
        <w:right w:w="0" w:type="dxa"/>
        <w:bottom w:w="0" w:type="dxa"/>
      </w:tblCellMar>
    </w:tblPr>
  </w:style>
  <w:style w:type="table" w:styleId="1164" w:customStyle="1">
    <w:name w:val="List Table 6 Colorful - Accent 2"/>
    <w:uiPriority w:val="99"/>
    <w:qFormat/>
    <w:tblPr>
      <w:tblCellMar>
        <w:left w:w="0" w:type="dxa"/>
        <w:top w:w="0" w:type="dxa"/>
        <w:right w:w="0" w:type="dxa"/>
        <w:bottom w:w="0" w:type="dxa"/>
      </w:tblCellMar>
    </w:tblPr>
  </w:style>
  <w:style w:type="table" w:styleId="1165" w:customStyle="1">
    <w:name w:val="List Table 6 Colorful - Accent 3"/>
    <w:uiPriority w:val="99"/>
    <w:qFormat/>
    <w:tblPr>
      <w:tblCellMar>
        <w:left w:w="0" w:type="dxa"/>
        <w:top w:w="0" w:type="dxa"/>
        <w:right w:w="0" w:type="dxa"/>
        <w:bottom w:w="0" w:type="dxa"/>
      </w:tblCellMar>
    </w:tblPr>
  </w:style>
  <w:style w:type="table" w:styleId="1166" w:customStyle="1">
    <w:name w:val="List Table 6 Colorful - Accent 4"/>
    <w:uiPriority w:val="99"/>
    <w:qFormat/>
    <w:tblPr>
      <w:tblCellMar>
        <w:left w:w="0" w:type="dxa"/>
        <w:top w:w="0" w:type="dxa"/>
        <w:right w:w="0" w:type="dxa"/>
        <w:bottom w:w="0" w:type="dxa"/>
      </w:tblCellMar>
    </w:tblPr>
  </w:style>
  <w:style w:type="table" w:styleId="1167" w:customStyle="1">
    <w:name w:val="List Table 6 Colorful - Accent 5"/>
    <w:uiPriority w:val="99"/>
    <w:qFormat/>
    <w:tblPr>
      <w:tblCellMar>
        <w:left w:w="0" w:type="dxa"/>
        <w:top w:w="0" w:type="dxa"/>
        <w:right w:w="0" w:type="dxa"/>
        <w:bottom w:w="0" w:type="dxa"/>
      </w:tblCellMar>
    </w:tblPr>
  </w:style>
  <w:style w:type="table" w:styleId="1168" w:customStyle="1">
    <w:name w:val="List Table 6 Colorful - Accent 6"/>
    <w:uiPriority w:val="99"/>
    <w:qFormat/>
    <w:tblPr>
      <w:tblCellMar>
        <w:left w:w="0" w:type="dxa"/>
        <w:top w:w="0" w:type="dxa"/>
        <w:right w:w="0" w:type="dxa"/>
        <w:bottom w:w="0" w:type="dxa"/>
      </w:tblCellMar>
    </w:tblPr>
  </w:style>
  <w:style w:type="table" w:styleId="1169" w:customStyle="1">
    <w:name w:val="清单表 7 彩色1"/>
    <w:uiPriority w:val="99"/>
    <w:qFormat/>
    <w:tblPr>
      <w:tblCellMar>
        <w:left w:w="0" w:type="dxa"/>
        <w:top w:w="0" w:type="dxa"/>
        <w:right w:w="0" w:type="dxa"/>
        <w:bottom w:w="0" w:type="dxa"/>
      </w:tblCellMar>
    </w:tblPr>
  </w:style>
  <w:style w:type="table" w:styleId="1170" w:customStyle="1">
    <w:name w:val="List Table 7 Colorful - Accent 1"/>
    <w:uiPriority w:val="99"/>
    <w:qFormat/>
    <w:tblPr>
      <w:tblCellMar>
        <w:left w:w="0" w:type="dxa"/>
        <w:top w:w="0" w:type="dxa"/>
        <w:right w:w="0" w:type="dxa"/>
        <w:bottom w:w="0" w:type="dxa"/>
      </w:tblCellMar>
    </w:tblPr>
  </w:style>
  <w:style w:type="table" w:styleId="1171" w:customStyle="1">
    <w:name w:val="List Table 7 Colorful - Accent 2"/>
    <w:uiPriority w:val="99"/>
    <w:qFormat/>
    <w:tblPr>
      <w:tblCellMar>
        <w:left w:w="0" w:type="dxa"/>
        <w:top w:w="0" w:type="dxa"/>
        <w:right w:w="0" w:type="dxa"/>
        <w:bottom w:w="0" w:type="dxa"/>
      </w:tblCellMar>
    </w:tblPr>
  </w:style>
  <w:style w:type="table" w:styleId="1172" w:customStyle="1">
    <w:name w:val="List Table 7 Colorful - Accent 3"/>
    <w:uiPriority w:val="99"/>
    <w:qFormat/>
    <w:tblPr>
      <w:tblCellMar>
        <w:left w:w="0" w:type="dxa"/>
        <w:top w:w="0" w:type="dxa"/>
        <w:right w:w="0" w:type="dxa"/>
        <w:bottom w:w="0" w:type="dxa"/>
      </w:tblCellMar>
    </w:tblPr>
  </w:style>
  <w:style w:type="table" w:styleId="1173" w:customStyle="1">
    <w:name w:val="List Table 7 Colorful - Accent 4"/>
    <w:uiPriority w:val="99"/>
    <w:qFormat/>
    <w:tblPr>
      <w:tblCellMar>
        <w:left w:w="0" w:type="dxa"/>
        <w:top w:w="0" w:type="dxa"/>
        <w:right w:w="0" w:type="dxa"/>
        <w:bottom w:w="0" w:type="dxa"/>
      </w:tblCellMar>
    </w:tblPr>
  </w:style>
  <w:style w:type="table" w:styleId="1174" w:customStyle="1">
    <w:name w:val="List Table 7 Colorful - Accent 5"/>
    <w:uiPriority w:val="99"/>
    <w:qFormat/>
    <w:tblPr>
      <w:tblCellMar>
        <w:left w:w="0" w:type="dxa"/>
        <w:top w:w="0" w:type="dxa"/>
        <w:right w:w="0" w:type="dxa"/>
        <w:bottom w:w="0" w:type="dxa"/>
      </w:tblCellMar>
    </w:tblPr>
  </w:style>
  <w:style w:type="table" w:styleId="1175" w:customStyle="1">
    <w:name w:val="List Table 7 Colorful - Accent 6"/>
    <w:uiPriority w:val="99"/>
    <w:qFormat/>
    <w:tblPr>
      <w:tblCellMar>
        <w:left w:w="0" w:type="dxa"/>
        <w:top w:w="0" w:type="dxa"/>
        <w:right w:w="0" w:type="dxa"/>
        <w:bottom w:w="0" w:type="dxa"/>
      </w:tblCellMar>
    </w:tblPr>
  </w:style>
  <w:style w:type="table" w:styleId="1176" w:customStyle="1">
    <w:name w:val="Lined - Accent"/>
    <w:uiPriority w:val="99"/>
    <w:qFormat/>
    <w:rPr>
      <w:color w:val="404040"/>
    </w:rPr>
    <w:tblPr>
      <w:tblCellMar>
        <w:left w:w="0" w:type="dxa"/>
        <w:top w:w="0" w:type="dxa"/>
        <w:right w:w="0" w:type="dxa"/>
        <w:bottom w:w="0" w:type="dxa"/>
      </w:tblCellMar>
    </w:tblPr>
  </w:style>
  <w:style w:type="table" w:styleId="1177" w:customStyle="1">
    <w:name w:val="Lined - Accent 1"/>
    <w:uiPriority w:val="99"/>
    <w:qFormat/>
    <w:rPr>
      <w:color w:val="404040"/>
    </w:rPr>
    <w:tblPr>
      <w:tblCellMar>
        <w:left w:w="0" w:type="dxa"/>
        <w:top w:w="0" w:type="dxa"/>
        <w:right w:w="0" w:type="dxa"/>
        <w:bottom w:w="0" w:type="dxa"/>
      </w:tblCellMar>
    </w:tblPr>
  </w:style>
  <w:style w:type="table" w:styleId="1178" w:customStyle="1">
    <w:name w:val="Lined - Accent 2"/>
    <w:uiPriority w:val="99"/>
    <w:qFormat/>
    <w:rPr>
      <w:color w:val="404040"/>
    </w:rPr>
    <w:tblPr>
      <w:tblCellMar>
        <w:left w:w="0" w:type="dxa"/>
        <w:top w:w="0" w:type="dxa"/>
        <w:right w:w="0" w:type="dxa"/>
        <w:bottom w:w="0" w:type="dxa"/>
      </w:tblCellMar>
    </w:tblPr>
  </w:style>
  <w:style w:type="table" w:styleId="1179" w:customStyle="1">
    <w:name w:val="Lined - Accent 3"/>
    <w:uiPriority w:val="99"/>
    <w:qFormat/>
    <w:rPr>
      <w:color w:val="404040"/>
    </w:rPr>
    <w:tblPr>
      <w:tblCellMar>
        <w:left w:w="0" w:type="dxa"/>
        <w:top w:w="0" w:type="dxa"/>
        <w:right w:w="0" w:type="dxa"/>
        <w:bottom w:w="0" w:type="dxa"/>
      </w:tblCellMar>
    </w:tblPr>
  </w:style>
  <w:style w:type="table" w:styleId="1180" w:customStyle="1">
    <w:name w:val="Lined - Accent 4"/>
    <w:uiPriority w:val="99"/>
    <w:qFormat/>
    <w:rPr>
      <w:color w:val="404040"/>
    </w:rPr>
    <w:tblPr>
      <w:tblCellMar>
        <w:left w:w="0" w:type="dxa"/>
        <w:top w:w="0" w:type="dxa"/>
        <w:right w:w="0" w:type="dxa"/>
        <w:bottom w:w="0" w:type="dxa"/>
      </w:tblCellMar>
    </w:tblPr>
  </w:style>
  <w:style w:type="table" w:styleId="1181" w:customStyle="1">
    <w:name w:val="Lined - Accent 5"/>
    <w:uiPriority w:val="99"/>
    <w:qFormat/>
    <w:rPr>
      <w:color w:val="404040"/>
    </w:rPr>
    <w:tblPr>
      <w:tblCellMar>
        <w:left w:w="0" w:type="dxa"/>
        <w:top w:w="0" w:type="dxa"/>
        <w:right w:w="0" w:type="dxa"/>
        <w:bottom w:w="0" w:type="dxa"/>
      </w:tblCellMar>
    </w:tblPr>
  </w:style>
  <w:style w:type="table" w:styleId="1182" w:customStyle="1">
    <w:name w:val="Lined - Accent 6"/>
    <w:uiPriority w:val="99"/>
    <w:qFormat/>
    <w:rPr>
      <w:color w:val="404040"/>
    </w:rPr>
    <w:tblPr>
      <w:tblCellMar>
        <w:left w:w="0" w:type="dxa"/>
        <w:top w:w="0" w:type="dxa"/>
        <w:right w:w="0" w:type="dxa"/>
        <w:bottom w:w="0" w:type="dxa"/>
      </w:tblCellMar>
    </w:tblPr>
  </w:style>
  <w:style w:type="table" w:styleId="1183" w:customStyle="1">
    <w:name w:val="Bordered &amp; Lined - Accent"/>
    <w:uiPriority w:val="99"/>
    <w:qFormat/>
    <w:rPr>
      <w:color w:val="404040"/>
    </w:rPr>
    <w:tblPr>
      <w:tblCellMar>
        <w:left w:w="0" w:type="dxa"/>
        <w:top w:w="0" w:type="dxa"/>
        <w:right w:w="0" w:type="dxa"/>
        <w:bottom w:w="0" w:type="dxa"/>
      </w:tblCellMar>
    </w:tblPr>
  </w:style>
  <w:style w:type="table" w:styleId="1184" w:customStyle="1">
    <w:name w:val="Bordered &amp; Lined - Accent 1"/>
    <w:uiPriority w:val="99"/>
    <w:qFormat/>
    <w:rPr>
      <w:color w:val="404040"/>
    </w:rPr>
    <w:tblPr>
      <w:tblCellMar>
        <w:left w:w="0" w:type="dxa"/>
        <w:top w:w="0" w:type="dxa"/>
        <w:right w:w="0" w:type="dxa"/>
        <w:bottom w:w="0" w:type="dxa"/>
      </w:tblCellMar>
    </w:tblPr>
  </w:style>
  <w:style w:type="table" w:styleId="1185" w:customStyle="1">
    <w:name w:val="Bordered &amp; Lined - Accent 2"/>
    <w:uiPriority w:val="99"/>
    <w:qFormat/>
    <w:rPr>
      <w:color w:val="404040"/>
    </w:rPr>
    <w:tblPr>
      <w:tblCellMar>
        <w:left w:w="0" w:type="dxa"/>
        <w:top w:w="0" w:type="dxa"/>
        <w:right w:w="0" w:type="dxa"/>
        <w:bottom w:w="0" w:type="dxa"/>
      </w:tblCellMar>
    </w:tblPr>
  </w:style>
  <w:style w:type="table" w:styleId="1186" w:customStyle="1">
    <w:name w:val="Bordered &amp; Lined - Accent 3"/>
    <w:uiPriority w:val="99"/>
    <w:qFormat/>
    <w:rPr>
      <w:color w:val="404040"/>
    </w:rPr>
    <w:tblPr>
      <w:tblCellMar>
        <w:left w:w="0" w:type="dxa"/>
        <w:top w:w="0" w:type="dxa"/>
        <w:right w:w="0" w:type="dxa"/>
        <w:bottom w:w="0" w:type="dxa"/>
      </w:tblCellMar>
    </w:tblPr>
  </w:style>
  <w:style w:type="table" w:styleId="1187" w:customStyle="1">
    <w:name w:val="Bordered &amp; Lined - Accent 4"/>
    <w:uiPriority w:val="99"/>
    <w:qFormat/>
    <w:rPr>
      <w:color w:val="404040"/>
    </w:rPr>
    <w:tblPr>
      <w:tblCellMar>
        <w:left w:w="0" w:type="dxa"/>
        <w:top w:w="0" w:type="dxa"/>
        <w:right w:w="0" w:type="dxa"/>
        <w:bottom w:w="0" w:type="dxa"/>
      </w:tblCellMar>
    </w:tblPr>
  </w:style>
  <w:style w:type="table" w:styleId="1188" w:customStyle="1">
    <w:name w:val="Bordered &amp; Lined - Accent 5"/>
    <w:uiPriority w:val="99"/>
    <w:qFormat/>
    <w:rPr>
      <w:color w:val="404040"/>
    </w:rPr>
    <w:tblPr>
      <w:tblCellMar>
        <w:left w:w="0" w:type="dxa"/>
        <w:top w:w="0" w:type="dxa"/>
        <w:right w:w="0" w:type="dxa"/>
        <w:bottom w:w="0" w:type="dxa"/>
      </w:tblCellMar>
    </w:tblPr>
  </w:style>
  <w:style w:type="table" w:styleId="1189" w:customStyle="1">
    <w:name w:val="Bordered &amp; Lined - Accent 6"/>
    <w:uiPriority w:val="99"/>
    <w:qFormat/>
    <w:rPr>
      <w:color w:val="404040"/>
    </w:rPr>
    <w:tblPr>
      <w:tblCellMar>
        <w:left w:w="0" w:type="dxa"/>
        <w:top w:w="0" w:type="dxa"/>
        <w:right w:w="0" w:type="dxa"/>
        <w:bottom w:w="0" w:type="dxa"/>
      </w:tblCellMar>
    </w:tblPr>
  </w:style>
  <w:style w:type="table" w:styleId="1190" w:customStyle="1">
    <w:name w:val="Bordered"/>
    <w:uiPriority w:val="99"/>
    <w:qFormat/>
    <w:tblPr>
      <w:tblCellMar>
        <w:left w:w="0" w:type="dxa"/>
        <w:top w:w="0" w:type="dxa"/>
        <w:right w:w="0" w:type="dxa"/>
        <w:bottom w:w="0" w:type="dxa"/>
      </w:tblCellMar>
    </w:tblPr>
  </w:style>
  <w:style w:type="table" w:styleId="1191" w:customStyle="1">
    <w:name w:val="Bordered - Accent 1"/>
    <w:uiPriority w:val="99"/>
    <w:qFormat/>
    <w:tblPr>
      <w:tblCellMar>
        <w:left w:w="0" w:type="dxa"/>
        <w:top w:w="0" w:type="dxa"/>
        <w:right w:w="0" w:type="dxa"/>
        <w:bottom w:w="0" w:type="dxa"/>
      </w:tblCellMar>
    </w:tblPr>
  </w:style>
  <w:style w:type="table" w:styleId="1192" w:customStyle="1">
    <w:name w:val="Bordered - Accent 2"/>
    <w:uiPriority w:val="99"/>
    <w:qFormat/>
    <w:tblPr>
      <w:tblCellMar>
        <w:left w:w="0" w:type="dxa"/>
        <w:top w:w="0" w:type="dxa"/>
        <w:right w:w="0" w:type="dxa"/>
        <w:bottom w:w="0" w:type="dxa"/>
      </w:tblCellMar>
    </w:tblPr>
  </w:style>
  <w:style w:type="table" w:styleId="1193" w:customStyle="1">
    <w:name w:val="Bordered - Accent 3"/>
    <w:uiPriority w:val="99"/>
    <w:qFormat/>
    <w:tblPr>
      <w:tblCellMar>
        <w:left w:w="0" w:type="dxa"/>
        <w:top w:w="0" w:type="dxa"/>
        <w:right w:w="0" w:type="dxa"/>
        <w:bottom w:w="0" w:type="dxa"/>
      </w:tblCellMar>
    </w:tblPr>
  </w:style>
  <w:style w:type="table" w:styleId="1194" w:customStyle="1">
    <w:name w:val="Bordered - Accent 4"/>
    <w:uiPriority w:val="99"/>
    <w:qFormat/>
    <w:tblPr>
      <w:tblCellMar>
        <w:left w:w="0" w:type="dxa"/>
        <w:top w:w="0" w:type="dxa"/>
        <w:right w:w="0" w:type="dxa"/>
        <w:bottom w:w="0" w:type="dxa"/>
      </w:tblCellMar>
    </w:tblPr>
  </w:style>
  <w:style w:type="table" w:styleId="1195" w:customStyle="1">
    <w:name w:val="Bordered - Accent 5"/>
    <w:uiPriority w:val="99"/>
    <w:qFormat/>
    <w:tblPr>
      <w:tblCellMar>
        <w:left w:w="0" w:type="dxa"/>
        <w:top w:w="0" w:type="dxa"/>
        <w:right w:w="0" w:type="dxa"/>
        <w:bottom w:w="0" w:type="dxa"/>
      </w:tblCellMar>
    </w:tblPr>
  </w:style>
  <w:style w:type="table" w:styleId="1196" w:customStyle="1">
    <w:name w:val="Bordered - Accent 6"/>
    <w:uiPriority w:val="99"/>
    <w:qFormat/>
    <w:tblPr>
      <w:tblCellMar>
        <w:left w:w="0" w:type="dxa"/>
        <w:top w:w="0" w:type="dxa"/>
        <w:right w:w="0" w:type="dxa"/>
        <w:bottom w:w="0" w:type="dxa"/>
      </w:tblCellMar>
    </w:tblPr>
  </w:style>
  <w:style w:type="paragraph" w:styleId="1197" w:customStyle="1">
    <w:name w:val="TOC 标题11"/>
    <w:uiPriority w:val="39"/>
    <w:unhideWhenUsed/>
    <w:qFormat/>
    <w:rPr>
      <w:rFonts w:ascii="Times New Roman" w:hAnsi="Times New Roman" w:eastAsia="宋体" w:cs="Times New Roman"/>
      <w:lang w:val="en-US" w:eastAsia="zh-CN" w:bidi="ar-SA"/>
    </w:rPr>
  </w:style>
  <w:style w:type="character" w:styleId="1198" w:customStyle="1">
    <w:name w:val="正文文本首行缩进 字符"/>
    <w:uiPriority w:val="0"/>
    <w:qFormat/>
    <w:rPr>
      <w:rFonts w:eastAsia="楷体_GB2312"/>
      <w:sz w:val="26"/>
    </w:rPr>
  </w:style>
  <w:style w:type="character" w:styleId="1199" w:customStyle="1">
    <w:name w:val="Char Char4"/>
    <w:uiPriority w:val="0"/>
    <w:qFormat/>
    <w:rPr>
      <w:rFonts w:ascii="微软雅黑" w:hAnsi="创艺简仿宋" w:eastAsia="微软雅黑"/>
      <w:sz w:val="24"/>
      <w:lang w:val="en-US" w:eastAsia="zh-CN" w:bidi="ar-SA"/>
    </w:rPr>
  </w:style>
  <w:style w:type="character" w:styleId="1200" w:customStyle="1">
    <w:name w:val="state"/>
    <w:uiPriority w:val="0"/>
    <w:qFormat/>
    <w:rPr>
      <w:b/>
      <w:color w:val="ffffff"/>
      <w:sz w:val="19"/>
      <w:szCs w:val="19"/>
    </w:rPr>
  </w:style>
  <w:style w:type="character" w:styleId="1201" w:customStyle="1">
    <w:name w:val="bds_more6"/>
    <w:uiPriority w:val="0"/>
    <w:qFormat/>
  </w:style>
  <w:style w:type="character" w:styleId="1202" w:customStyle="1">
    <w:name w:val="hilite"/>
    <w:uiPriority w:val="0"/>
    <w:qFormat/>
    <w:rPr>
      <w:color w:val="ffffff"/>
      <w:shd w:val="clear" w:color="auto" w:fill="776666"/>
    </w:rPr>
  </w:style>
  <w:style w:type="character" w:styleId="1203" w:customStyle="1">
    <w:name w:val="bds_nopic"/>
    <w:uiPriority w:val="0"/>
    <w:qFormat/>
  </w:style>
  <w:style w:type="character" w:styleId="1204" w:customStyle="1">
    <w:name w:val="Char Char2"/>
    <w:uiPriority w:val="0"/>
    <w:qFormat/>
    <w:rPr>
      <w:rFonts w:ascii="宋体" w:hAnsi="宋体" w:eastAsia="楷体_GB2312"/>
      <w:b/>
      <w:sz w:val="26"/>
      <w:lang w:val="en-US" w:eastAsia="zh-CN" w:bidi="ar-SA"/>
    </w:rPr>
  </w:style>
  <w:style w:type="character" w:styleId="1205" w:customStyle="1">
    <w:name w:val="hover61"/>
    <w:uiPriority w:val="0"/>
    <w:qFormat/>
    <w:rPr>
      <w:shd w:val="clear" w:color="auto" w:fill="ff0000"/>
    </w:rPr>
  </w:style>
  <w:style w:type="character" w:styleId="1206" w:customStyle="1">
    <w:name w:val="font51"/>
    <w:uiPriority w:val="99"/>
    <w:qFormat/>
    <w:rPr>
      <w:rFonts w:hint="eastAsia" w:ascii="宋体" w:hAnsi="宋体" w:eastAsia="宋体" w:cs="宋体"/>
      <w:color w:val="ff0000"/>
      <w:sz w:val="20"/>
      <w:szCs w:val="20"/>
      <w:u w:val="none"/>
    </w:rPr>
  </w:style>
  <w:style w:type="character" w:styleId="1207" w:customStyle="1">
    <w:name w:val="grid"/>
    <w:uiPriority w:val="0"/>
    <w:qFormat/>
  </w:style>
  <w:style w:type="character" w:styleId="1208" w:customStyle="1">
    <w:name w:val="bds_more7"/>
    <w:uiPriority w:val="0"/>
    <w:qFormat/>
  </w:style>
  <w:style w:type="character" w:styleId="1209" w:customStyle="1">
    <w:name w:val="bds_more8"/>
    <w:uiPriority w:val="0"/>
    <w:qFormat/>
    <w:rPr>
      <w:rFonts w:hint="eastAsia" w:ascii="宋体" w:hAnsi="宋体" w:eastAsia="宋体" w:cs="宋体"/>
    </w:rPr>
  </w:style>
  <w:style w:type="character" w:styleId="1210" w:customStyle="1">
    <w:name w:val="bds_more4"/>
    <w:uiPriority w:val="0"/>
    <w:qFormat/>
    <w:rPr>
      <w:rFonts w:hint="eastAsia" w:ascii="宋体" w:hAnsi="宋体" w:eastAsia="宋体" w:cs="宋体"/>
    </w:rPr>
  </w:style>
  <w:style w:type="character" w:styleId="1211" w:customStyle="1">
    <w:name w:val="bds_nopic1"/>
    <w:uiPriority w:val="0"/>
    <w:qFormat/>
  </w:style>
  <w:style w:type="character" w:styleId="1212" w:customStyle="1">
    <w:name w:val="hilite6"/>
    <w:uiPriority w:val="0"/>
    <w:qFormat/>
    <w:rPr>
      <w:color w:val="ffffff"/>
      <w:shd w:val="clear" w:color="auto" w:fill="776666"/>
    </w:rPr>
  </w:style>
  <w:style w:type="character" w:styleId="1213" w:customStyle="1">
    <w:name w:val="正文缩进2格 Char Char"/>
    <w:link w:val="1214"/>
    <w:uiPriority w:val="0"/>
    <w:qFormat/>
    <w:rPr>
      <w:rFonts w:ascii="仿宋_GB2312" w:hAnsi="宋体" w:eastAsia="仿宋_GB2312"/>
      <w:sz w:val="31"/>
      <w:szCs w:val="28"/>
    </w:rPr>
  </w:style>
  <w:style w:type="paragraph" w:styleId="1214" w:customStyle="1">
    <w:name w:val="正文缩进2格"/>
    <w:basedOn w:val="782"/>
    <w:link w:val="1213"/>
    <w:uiPriority w:val="0"/>
    <w:qFormat/>
    <w:pPr>
      <w:ind w:firstLine="639"/>
      <w:spacing w:line="600" w:lineRule="exact"/>
    </w:pPr>
    <w:rPr>
      <w:rFonts w:ascii="仿宋_GB2312" w:hAnsi="宋体" w:eastAsia="仿宋_GB2312"/>
      <w:sz w:val="31"/>
      <w:szCs w:val="28"/>
    </w:rPr>
  </w:style>
  <w:style w:type="character" w:styleId="1215" w:customStyle="1">
    <w:name w:val="grid2"/>
    <w:uiPriority w:val="0"/>
    <w:qFormat/>
  </w:style>
  <w:style w:type="character" w:styleId="1216" w:customStyle="1">
    <w:name w:val="other"/>
    <w:uiPriority w:val="0"/>
    <w:qFormat/>
  </w:style>
  <w:style w:type="character" w:styleId="1217" w:customStyle="1">
    <w:name w:val="font01"/>
    <w:uiPriority w:val="0"/>
    <w:qFormat/>
    <w:rPr>
      <w:rFonts w:hint="eastAsia" w:ascii="宋体" w:hAnsi="宋体" w:eastAsia="宋体" w:cs="宋体"/>
      <w:b/>
      <w:color w:val="000000"/>
      <w:sz w:val="20"/>
      <w:szCs w:val="20"/>
      <w:u w:val="none"/>
    </w:rPr>
  </w:style>
  <w:style w:type="character" w:styleId="1218" w:customStyle="1">
    <w:name w:val="noused"/>
    <w:uiPriority w:val="0"/>
    <w:qFormat/>
    <w:rPr>
      <w:b/>
      <w:color w:val="ffffff"/>
      <w:sz w:val="21"/>
      <w:szCs w:val="21"/>
    </w:rPr>
  </w:style>
  <w:style w:type="character" w:styleId="1219" w:customStyle="1">
    <w:name w:val="active8"/>
    <w:uiPriority w:val="0"/>
    <w:qFormat/>
    <w:rPr>
      <w:color w:val="00ff00"/>
      <w:shd w:val="clear" w:color="auto" w:fill="000000"/>
    </w:rPr>
  </w:style>
  <w:style w:type="character" w:styleId="1220" w:customStyle="1">
    <w:name w:val="font61"/>
    <w:uiPriority w:val="0"/>
    <w:qFormat/>
    <w:rPr>
      <w:rFonts w:hint="eastAsia" w:ascii="宋体" w:hAnsi="宋体" w:eastAsia="宋体" w:cs="宋体"/>
      <w:color w:val="000000"/>
      <w:sz w:val="20"/>
      <w:szCs w:val="20"/>
      <w:u w:val="none"/>
    </w:rPr>
  </w:style>
  <w:style w:type="character" w:styleId="1221" w:customStyle="1">
    <w:name w:val="bds_more5"/>
    <w:uiPriority w:val="0"/>
    <w:qFormat/>
  </w:style>
  <w:style w:type="character" w:styleId="1222" w:customStyle="1">
    <w:name w:val="bds_nopic2"/>
    <w:uiPriority w:val="0"/>
    <w:qFormat/>
  </w:style>
  <w:style w:type="character" w:styleId="1223" w:customStyle="1">
    <w:name w:val="active"/>
    <w:uiPriority w:val="0"/>
    <w:qFormat/>
    <w:rPr>
      <w:color w:val="00ff00"/>
      <w:shd w:val="clear" w:color="auto" w:fill="000000"/>
    </w:rPr>
  </w:style>
  <w:style w:type="character" w:styleId="1224" w:customStyle="1">
    <w:name w:val="font41"/>
    <w:uiPriority w:val="0"/>
    <w:qFormat/>
    <w:rPr>
      <w:rFonts w:hint="eastAsia" w:ascii="宋体" w:hAnsi="宋体" w:eastAsia="宋体" w:cs="宋体"/>
      <w:color w:val="000000"/>
      <w:sz w:val="20"/>
      <w:szCs w:val="20"/>
      <w:u w:val="none"/>
    </w:rPr>
  </w:style>
  <w:style w:type="character" w:styleId="1225" w:customStyle="1">
    <w:name w:val="font11"/>
    <w:uiPriority w:val="0"/>
    <w:qFormat/>
    <w:rPr>
      <w:rFonts w:ascii="宋体" w:hAnsi="宋体" w:eastAsia="宋体"/>
      <w:color w:val="000000"/>
      <w:sz w:val="28"/>
      <w:u w:val="none"/>
    </w:rPr>
  </w:style>
  <w:style w:type="character" w:styleId="1226" w:customStyle="1">
    <w:name w:val="font81"/>
    <w:uiPriority w:val="0"/>
    <w:qFormat/>
    <w:rPr>
      <w:rFonts w:ascii="宋体" w:hAnsi="宋体" w:eastAsia="宋体"/>
      <w:b/>
      <w:color w:val="000000"/>
      <w:sz w:val="18"/>
      <w:u w:val="none"/>
    </w:rPr>
  </w:style>
  <w:style w:type="character" w:styleId="1227" w:customStyle="1">
    <w:name w:val="font71"/>
    <w:uiPriority w:val="0"/>
    <w:qFormat/>
    <w:rPr>
      <w:rFonts w:hint="eastAsia" w:ascii="宋体" w:hAnsi="宋体" w:eastAsia="宋体" w:cs="宋体"/>
      <w:color w:val="000000"/>
      <w:sz w:val="20"/>
      <w:szCs w:val="20"/>
      <w:u w:val="none"/>
      <w:vertAlign w:val="superscript"/>
    </w:rPr>
  </w:style>
  <w:style w:type="character" w:styleId="1228" w:customStyle="1">
    <w:name w:val="正文文本缩进 Char1"/>
    <w:uiPriority w:val="0"/>
    <w:qFormat/>
    <w:rPr>
      <w:rFonts w:eastAsia="楷体_GB2312"/>
      <w:sz w:val="26"/>
    </w:rPr>
  </w:style>
  <w:style w:type="character" w:styleId="1229"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230" w:customStyle="1">
    <w:name w:val="日期 Char1"/>
    <w:uiPriority w:val="0"/>
    <w:qFormat/>
    <w:rPr>
      <w:rFonts w:eastAsia="楷体_GB2312"/>
      <w:sz w:val="26"/>
      <w:szCs w:val="26"/>
    </w:rPr>
  </w:style>
  <w:style w:type="character" w:styleId="1231" w:customStyle="1">
    <w:name w:val="Balloon Text Char"/>
    <w:uiPriority w:val="0"/>
    <w:semiHidden/>
    <w:qFormat/>
    <w:rPr>
      <w:rFonts w:eastAsia="宋体"/>
      <w:sz w:val="18"/>
      <w:lang w:val="en-US" w:eastAsia="zh-CN"/>
    </w:rPr>
  </w:style>
  <w:style w:type="character" w:styleId="1232" w:customStyle="1">
    <w:name w:val="font21"/>
    <w:uiPriority w:val="0"/>
    <w:qFormat/>
    <w:rPr>
      <w:rFonts w:hint="eastAsia" w:ascii="宋体" w:hAnsi="宋体" w:eastAsia="宋体" w:cs="宋体"/>
      <w:b/>
      <w:color w:val="000000"/>
      <w:sz w:val="20"/>
      <w:szCs w:val="20"/>
      <w:u w:val="none"/>
    </w:rPr>
  </w:style>
  <w:style w:type="character" w:styleId="1233" w:customStyle="1">
    <w:name w:val="font31"/>
    <w:uiPriority w:val="0"/>
    <w:qFormat/>
    <w:rPr>
      <w:rFonts w:ascii="宋体" w:hAnsi="宋体" w:eastAsia="宋体"/>
      <w:color w:val="000000"/>
      <w:sz w:val="20"/>
      <w:u w:val="none"/>
    </w:rPr>
  </w:style>
  <w:style w:type="character" w:styleId="1234" w:customStyle="1">
    <w:name w:val="Body Text Indent Char"/>
    <w:uiPriority w:val="0"/>
    <w:qFormat/>
    <w:rPr>
      <w:rFonts w:ascii="微软雅黑" w:hAnsi="创艺简仿宋" w:eastAsia="微软雅黑"/>
      <w:sz w:val="24"/>
    </w:rPr>
  </w:style>
  <w:style w:type="character" w:styleId="1235" w:customStyle="1">
    <w:name w:val="Header Char1"/>
    <w:uiPriority w:val="0"/>
    <w:qFormat/>
    <w:rPr>
      <w:rFonts w:eastAsia="楷体_GB2312"/>
      <w:sz w:val="18"/>
    </w:rPr>
  </w:style>
  <w:style w:type="character" w:styleId="1236" w:customStyle="1">
    <w:name w:val="正文文本缩进 Char2"/>
    <w:uiPriority w:val="0"/>
    <w:qFormat/>
    <w:rPr>
      <w:rFonts w:eastAsia="楷体_GB2312"/>
      <w:sz w:val="26"/>
      <w:szCs w:val="26"/>
    </w:rPr>
  </w:style>
  <w:style w:type="character" w:styleId="1237" w:customStyle="1">
    <w:name w:val="NormalCharacter1"/>
    <w:uiPriority w:val="0"/>
    <w:qFormat/>
  </w:style>
  <w:style w:type="paragraph" w:styleId="1238" w:customStyle="1">
    <w:name w:val="列出段落111"/>
    <w:basedOn w:val="782"/>
    <w:uiPriority w:val="0"/>
    <w:qFormat/>
    <w:pPr>
      <w:ind w:firstLine="420"/>
    </w:pPr>
    <w:rPr>
      <w:rFonts w:ascii="Calibri" w:hAnsi="Calibri" w:eastAsia="宋体" w:cs="黑体"/>
      <w:szCs w:val="22"/>
    </w:rPr>
  </w:style>
  <w:style w:type="paragraph" w:styleId="1239" w:customStyle="1">
    <w:name w:val="p0"/>
    <w:basedOn w:val="782"/>
    <w:uiPriority w:val="0"/>
    <w:qFormat/>
    <w:pPr>
      <w:widowControl/>
    </w:pPr>
    <w:rPr>
      <w:rFonts w:eastAsia="宋体"/>
      <w:sz w:val="21"/>
      <w:szCs w:val="21"/>
    </w:rPr>
  </w:style>
  <w:style w:type="paragraph" w:styleId="1240" w:customStyle="1">
    <w:name w:val="纯文本1"/>
    <w:basedOn w:val="782"/>
    <w:uiPriority w:val="0"/>
    <w:qFormat/>
    <w:rPr>
      <w:rFonts w:ascii="宋体" w:hAnsi="Courier New"/>
      <w:sz w:val="28"/>
    </w:rPr>
  </w:style>
  <w:style w:type="paragraph" w:styleId="1241" w:customStyle="1">
    <w:name w:val="Char Char1 Char Char Char Char"/>
    <w:basedOn w:val="941"/>
    <w:uiPriority w:val="0"/>
    <w:qFormat/>
    <w:pPr>
      <w:spacing w:line="360" w:lineRule="auto"/>
    </w:pPr>
    <w:rPr>
      <w:rFonts w:ascii="Tahoma" w:hAnsi="Tahoma" w:eastAsia="宋体"/>
      <w:sz w:val="24"/>
      <w:szCs w:val="24"/>
    </w:rPr>
  </w:style>
  <w:style w:type="paragraph" w:styleId="1242" w:customStyle="1">
    <w:name w:val="Char Char1 Char Char Char Char Char Char Char"/>
    <w:basedOn w:val="782"/>
    <w:uiPriority w:val="0"/>
    <w:qFormat/>
    <w:rPr>
      <w:rFonts w:ascii="Tahoma" w:hAnsi="Tahoma"/>
      <w:sz w:val="24"/>
    </w:rPr>
  </w:style>
  <w:style w:type="paragraph" w:styleId="1243" w:customStyle="1">
    <w:name w:val="Char"/>
    <w:basedOn w:val="782"/>
    <w:uiPriority w:val="0"/>
    <w:qFormat/>
    <w:pPr>
      <w:jc w:val="left"/>
      <w:spacing w:after="160" w:line="240" w:lineRule="exact"/>
      <w:widowControl/>
    </w:pPr>
    <w:rPr>
      <w:rFonts w:ascii="Verdana" w:hAnsi="Verdana" w:eastAsia="宋体"/>
      <w:sz w:val="21"/>
      <w:lang w:eastAsia="en-US"/>
    </w:rPr>
  </w:style>
  <w:style w:type="paragraph" w:styleId="1244" w:customStyle="1">
    <w:name w:val="Char1"/>
    <w:basedOn w:val="782"/>
    <w:uiPriority w:val="0"/>
    <w:qFormat/>
    <w:rPr>
      <w:rFonts w:ascii="Tahoma" w:hAnsi="Tahoma" w:eastAsia="宋体"/>
      <w:sz w:val="24"/>
    </w:rPr>
  </w:style>
  <w:style w:type="paragraph" w:styleId="1245" w:customStyle="1">
    <w:name w:val="图"/>
    <w:basedOn w:val="782"/>
    <w:uiPriority w:val="0"/>
    <w:qFormat/>
    <w:pPr>
      <w:jc w:val="center"/>
      <w:keepNext/>
      <w:spacing w:before="60" w:after="60" w:line="300" w:lineRule="auto"/>
    </w:pPr>
    <w:rPr>
      <w:rFonts w:eastAsia="宋体"/>
      <w:spacing w:val="20"/>
      <w:sz w:val="24"/>
    </w:rPr>
  </w:style>
  <w:style w:type="paragraph" w:styleId="1246" w:customStyle="1">
    <w:name w:val="纯文本2"/>
    <w:basedOn w:val="782"/>
    <w:uiPriority w:val="0"/>
    <w:qFormat/>
    <w:rPr>
      <w:rFonts w:ascii="宋体" w:hAnsi="Courier New"/>
    </w:rPr>
  </w:style>
  <w:style w:type="paragraph" w:styleId="1247" w:customStyle="1">
    <w:name w:val="Table Paragraph"/>
    <w:basedOn w:val="782"/>
    <w:uiPriority w:val="1"/>
    <w:qFormat/>
    <w:rPr>
      <w:rFonts w:ascii="仿宋" w:hAnsi="仿宋" w:eastAsia="仿宋" w:cs="仿宋"/>
      <w:sz w:val="21"/>
      <w:szCs w:val="22"/>
      <w:lang w:val="zh-CN" w:bidi="zh-CN"/>
    </w:rPr>
  </w:style>
  <w:style w:type="paragraph" w:styleId="1248" w:customStyle="1">
    <w:name w:val="xl107"/>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9" w:customStyle="1">
    <w:name w:val="font10"/>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50" w:customStyle="1">
    <w:name w:val="xl108"/>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1" w:customStyle="1">
    <w:name w:val="xl127"/>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2" w:customStyle="1">
    <w:name w:val="xl124"/>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3" w:customStyle="1">
    <w:name w:val="font7"/>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54" w:customStyle="1">
    <w:name w:val="xl162"/>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55" w:customStyle="1">
    <w:name w:val="xl123"/>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6" w:customStyle="1">
    <w:name w:val="xl113"/>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57" w:customStyle="1">
    <w:name w:val="font12"/>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58" w:customStyle="1">
    <w:name w:val="xl145"/>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59" w:customStyle="1">
    <w:name w:val="font22"/>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60" w:customStyle="1">
    <w:name w:val="xl157"/>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61" w:customStyle="1">
    <w:name w:val="xl156"/>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62" w:customStyle="1">
    <w:name w:val="xl111"/>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3" w:customStyle="1">
    <w:name w:val="xl143"/>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4" w:customStyle="1">
    <w:name w:val="xl128"/>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5" w:customStyle="1">
    <w:name w:val="xl138"/>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6" w:customStyle="1">
    <w:name w:val="xl152"/>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7" w:customStyle="1">
    <w:name w:val="xl117"/>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8" w:customStyle="1">
    <w:name w:val="xl149"/>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9" w:customStyle="1">
    <w:name w:val="xl154"/>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0" w:customStyle="1">
    <w:name w:val="xl146"/>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1" w:customStyle="1">
    <w:name w:val="xl122"/>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2" w:customStyle="1">
    <w:name w:val="font8"/>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73" w:customStyle="1">
    <w:name w:val="xl142"/>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4" w:customStyle="1">
    <w:name w:val="xl125"/>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5" w:customStyle="1">
    <w:name w:val="font6"/>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76" w:customStyle="1">
    <w:name w:val="xl126"/>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7" w:customStyle="1">
    <w:name w:val="xl105"/>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8" w:customStyle="1">
    <w:name w:val="xl109"/>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9" w:customStyle="1">
    <w:name w:val="xl136"/>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0" w:customStyle="1">
    <w:name w:val="xl101"/>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81" w:customStyle="1">
    <w:name w:val="列出段落11"/>
    <w:basedOn w:val="782"/>
    <w:uiPriority w:val="34"/>
    <w:qFormat/>
    <w:pPr>
      <w:ind w:firstLine="420"/>
    </w:pPr>
    <w:rPr>
      <w:rFonts w:ascii="Calibri" w:hAnsi="Calibri" w:eastAsia="宋体"/>
      <w:szCs w:val="26"/>
    </w:rPr>
  </w:style>
  <w:style w:type="paragraph" w:styleId="1282" w:customStyle="1">
    <w:name w:val="font15"/>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83" w:customStyle="1">
    <w:name w:val="xl161"/>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84" w:customStyle="1">
    <w:name w:val="xl141"/>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5" w:customStyle="1">
    <w:name w:val="xl118"/>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86" w:customStyle="1">
    <w:name w:val="xl153"/>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87" w:customStyle="1">
    <w:name w:val="xl133"/>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8" w:customStyle="1">
    <w:name w:val="font17"/>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89" w:customStyle="1">
    <w:name w:val="xl140"/>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0" w:customStyle="1">
    <w:name w:val="xl159"/>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1" w:customStyle="1">
    <w:name w:val="xl103"/>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2" w:customStyle="1">
    <w:name w:val="xl120"/>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3" w:customStyle="1">
    <w:name w:val="xl148"/>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4" w:customStyle="1">
    <w:name w:val="xl150"/>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95" w:customStyle="1">
    <w:name w:val="xl110"/>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6" w:customStyle="1">
    <w:name w:val="正文1"/>
    <w:uiPriority w:val="0"/>
    <w:qFormat/>
    <w:pPr>
      <w:ind w:firstLine="200"/>
      <w:jc w:val="both"/>
      <w:spacing w:line="240" w:lineRule="atLeast"/>
    </w:pPr>
    <w:rPr>
      <w:rFonts w:ascii="Times New Roman" w:hAnsi="Times New Roman" w:eastAsia="宋体" w:cs="Times New Roman"/>
      <w:sz w:val="21"/>
      <w:szCs w:val="21"/>
      <w:lang w:val="en-US" w:eastAsia="zh-CN" w:bidi="ar-SA"/>
    </w:rPr>
  </w:style>
  <w:style w:type="paragraph" w:styleId="1297" w:customStyle="1">
    <w:name w:val="xl132"/>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8" w:customStyle="1">
    <w:name w:val="font16"/>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299" w:customStyle="1">
    <w:name w:val="Normal_20"/>
    <w:uiPriority w:val="0"/>
    <w:qFormat/>
    <w:pPr>
      <w:jc w:val="both"/>
      <w:spacing w:before="120" w:after="240"/>
    </w:pPr>
    <w:rPr>
      <w:rFonts w:ascii="Times New Roman" w:hAnsi="Times New Roman" w:eastAsia="Calibri" w:cs="Times New Roman"/>
      <w:sz w:val="22"/>
      <w:szCs w:val="22"/>
      <w:lang w:val="ru-RU" w:eastAsia="zh-CN" w:bidi="ar-SA"/>
    </w:rPr>
  </w:style>
  <w:style w:type="paragraph" w:styleId="1300" w:customStyle="1">
    <w:name w:val="xl114"/>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01" w:customStyle="1">
    <w:name w:val="xl131"/>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2" w:customStyle="1">
    <w:name w:val="_Style 7"/>
    <w:basedOn w:val="782"/>
    <w:uiPriority w:val="0"/>
    <w:qFormat/>
    <w:pPr>
      <w:ind w:firstLine="420"/>
    </w:pPr>
    <w:rPr>
      <w:rFonts w:eastAsia="宋体"/>
      <w:szCs w:val="26"/>
    </w:rPr>
  </w:style>
  <w:style w:type="paragraph" w:styleId="1303" w:customStyle="1">
    <w:name w:val="xl106"/>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4" w:customStyle="1">
    <w:name w:val="xl137"/>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5" w:customStyle="1">
    <w:name w:val="font14"/>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306" w:customStyle="1">
    <w:name w:val="xl100"/>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307" w:customStyle="1">
    <w:name w:val="xl99"/>
    <w:basedOn w:val="782"/>
    <w:uiPriority w:val="0"/>
    <w:qFormat/>
    <w:pPr>
      <w:jc w:val="center"/>
      <w:spacing w:before="100" w:beforeAutospacing="1" w:after="100" w:afterAutospacing="1"/>
      <w:widowControl/>
    </w:pPr>
    <w:rPr>
      <w:rFonts w:ascii="Courier New" w:hAnsi="Courier New" w:eastAsia="宋体" w:cs="Courier New"/>
      <w:color w:val="000000"/>
      <w:sz w:val="20"/>
    </w:rPr>
  </w:style>
  <w:style w:type="paragraph" w:styleId="1308" w:customStyle="1">
    <w:name w:val="xl151"/>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9" w:customStyle="1">
    <w:name w:val="_Style 26"/>
    <w:next w:val="782"/>
    <w:uiPriority w:val="99"/>
    <w:qFormat/>
    <w:pPr>
      <w:jc w:val="both"/>
      <w:widowControl w:val="off"/>
    </w:pPr>
    <w:rPr>
      <w:rFonts w:ascii="Times New Roman" w:hAnsi="Times New Roman" w:eastAsia="楷体_GB2312" w:cs="Times New Roman"/>
      <w:sz w:val="26"/>
      <w:szCs w:val="26"/>
      <w:lang w:val="en-US" w:eastAsia="zh-CN" w:bidi="ar-SA"/>
    </w:rPr>
  </w:style>
  <w:style w:type="paragraph" w:styleId="1310" w:customStyle="1">
    <w:name w:val="样式 标题 1 + 宋体 段前: 0 磅 段后: 0 磅 行距: 单倍行距"/>
    <w:basedOn w:val="922"/>
    <w:next w:val="782"/>
    <w:uiPriority w:val="0"/>
    <w:qFormat/>
    <w:pPr>
      <w:jc w:val="center"/>
      <w:spacing w:line="240" w:lineRule="auto"/>
    </w:pPr>
    <w:rPr>
      <w:rFonts w:ascii="仿宋_GB2312" w:hAnsi="宋体" w:eastAsia="仿宋_GB2312" w:cs="宋体"/>
      <w:bCs/>
      <w:szCs w:val="44"/>
    </w:rPr>
  </w:style>
  <w:style w:type="paragraph" w:styleId="1311" w:customStyle="1">
    <w:name w:val="font9"/>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312" w:customStyle="1">
    <w:name w:val="font20"/>
    <w:basedOn w:val="782"/>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313" w:customStyle="1">
    <w:name w:val="font13"/>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314" w:customStyle="1">
    <w:name w:val="xl102"/>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15" w:customStyle="1">
    <w:name w:val="xl116"/>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6" w:customStyle="1">
    <w:name w:val="xl134"/>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7" w:customStyle="1">
    <w:name w:val="font18"/>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318" w:customStyle="1">
    <w:name w:val="xl121"/>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9" w:customStyle="1">
    <w:name w:val="xl158"/>
    <w:basedOn w:val="782"/>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320" w:customStyle="1">
    <w:name w:val="xl119"/>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1" w:customStyle="1">
    <w:name w:val="xl135"/>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2" w:customStyle="1">
    <w:name w:val="font5"/>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323" w:customStyle="1">
    <w:name w:val="xl155"/>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4" w:customStyle="1">
    <w:name w:val="font19"/>
    <w:basedOn w:val="782"/>
    <w:uiPriority w:val="0"/>
    <w:qFormat/>
    <w:pPr>
      <w:jc w:val="left"/>
      <w:spacing w:before="100" w:beforeAutospacing="1" w:after="100" w:afterAutospacing="1"/>
      <w:widowControl/>
    </w:pPr>
    <w:rPr>
      <w:rFonts w:ascii="宋体" w:hAnsi="宋体" w:eastAsia="宋体" w:cs="宋体"/>
      <w:sz w:val="18"/>
      <w:szCs w:val="18"/>
    </w:rPr>
  </w:style>
  <w:style w:type="paragraph" w:styleId="1325" w:customStyle="1">
    <w:name w:val="xl160"/>
    <w:basedOn w:val="78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26" w:customStyle="1">
    <w:name w:val="xl112"/>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7" w:customStyle="1">
    <w:name w:val="xl104"/>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8" w:customStyle="1">
    <w:name w:val="xl139"/>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29" w:customStyle="1">
    <w:name w:val="xl130"/>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0" w:customStyle="1">
    <w:name w:val="xl129"/>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1" w:customStyle="1">
    <w:name w:val="xl115"/>
    <w:basedOn w:val="7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2" w:customStyle="1">
    <w:name w:val="xl147"/>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3" w:customStyle="1">
    <w:name w:val="xl144"/>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334" w:customStyle="1">
    <w:name w:val="网格型1"/>
    <w:basedOn w:val="936"/>
    <w:uiPriority w:val="0"/>
    <w:qFormat/>
    <w:pPr>
      <w:jc w:val="both"/>
      <w:widowControl w:val="off"/>
    </w:pPr>
    <w:tblPr>
      <w:tblCellMar>
        <w:left w:w="0" w:type="dxa"/>
        <w:top w:w="0" w:type="dxa"/>
        <w:right w:w="0" w:type="dxa"/>
        <w:bottom w:w="0" w:type="dxa"/>
      </w:tblCellMar>
    </w:tblPr>
  </w:style>
  <w:style w:type="character" w:styleId="1335" w:customStyle="1">
    <w:name w:val="纯文本 字符"/>
    <w:uiPriority w:val="0"/>
    <w:qFormat/>
    <w:rPr>
      <w:rFonts w:ascii="宋体" w:hAnsi="Courier New" w:eastAsia="楷体_GB2312"/>
      <w:sz w:val="26"/>
      <w:lang w:val="en-US" w:eastAsia="zh-CN" w:bidi="ar-SA"/>
    </w:rPr>
  </w:style>
  <w:style w:type="paragraph" w:styleId="1336" w:customStyle="1">
    <w:name w:val="_Style 225"/>
    <w:uiPriority w:val="0"/>
    <w:qFormat/>
    <w:pPr>
      <w:ind w:firstLine="420"/>
      <w:jc w:val="both"/>
      <w:spacing w:after="120"/>
      <w:widowControl w:val="off"/>
    </w:pPr>
    <w:rPr>
      <w:rFonts w:ascii="Times New Roman" w:hAnsi="Times New Roman" w:eastAsia="楷体_GB2312" w:cs="Times New Roman"/>
      <w:sz w:val="26"/>
      <w:lang w:val="en-US" w:eastAsia="zh-CN" w:bidi="ar-SA"/>
    </w:rPr>
  </w:style>
  <w:style w:type="character" w:styleId="1337" w:customStyle="1">
    <w:name w:val="正文文本 字符"/>
    <w:uiPriority w:val="0"/>
    <w:qFormat/>
    <w:rPr>
      <w:rFonts w:ascii="楷体_GB2312" w:eastAsia="楷体_GB2312"/>
      <w:sz w:val="28"/>
    </w:rPr>
  </w:style>
  <w:style w:type="character" w:styleId="1338" w:customStyle="1">
    <w:name w:val="正文文本 字符1"/>
    <w:uiPriority w:val="0"/>
    <w:qFormat/>
    <w:rPr>
      <w:rFonts w:ascii="楷体_GB2312" w:eastAsia="楷体_GB2312"/>
      <w:sz w:val="28"/>
    </w:rPr>
  </w:style>
  <w:style w:type="table" w:styleId="1339"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40"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41"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42"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343" w:customStyle="1">
    <w:name w:val="UserStyle_2"/>
    <w:link w:val="1344"/>
    <w:uiPriority w:val="0"/>
    <w:qFormat/>
    <w:rPr>
      <w:rFonts w:ascii="宋体" w:hAnsi="宋体"/>
      <w:color w:val="000000"/>
      <w:sz w:val="21"/>
    </w:rPr>
  </w:style>
  <w:style w:type="paragraph" w:styleId="1344" w:customStyle="1">
    <w:name w:val="UserStyle_3"/>
    <w:basedOn w:val="782"/>
    <w:link w:val="1343"/>
    <w:uiPriority w:val="0"/>
    <w:qFormat/>
    <w:pPr>
      <w:ind w:firstLine="420"/>
      <w:jc w:val="left"/>
      <w:spacing w:before="40" w:after="160" w:line="288" w:lineRule="auto"/>
      <w:widowControl/>
    </w:pPr>
    <w:rPr>
      <w:rFonts w:ascii="宋体" w:hAnsi="宋体" w:eastAsia="宋体"/>
      <w:color w:val="000000"/>
      <w:sz w:val="21"/>
    </w:rPr>
  </w:style>
  <w:style w:type="table" w:styleId="1345" w:customStyle="1">
    <w:name w:val="网格型2"/>
    <w:basedOn w:val="936"/>
    <w:uiPriority w:val="39"/>
    <w:qFormat/>
    <w:rPr>
      <w:rFonts w:ascii="等线" w:hAnsi="等线" w:eastAsia="等线"/>
    </w:rPr>
    <w:tblPr>
      <w:tblCellMar>
        <w:left w:w="0" w:type="dxa"/>
        <w:top w:w="0" w:type="dxa"/>
        <w:right w:w="0" w:type="dxa"/>
        <w:bottom w:w="0" w:type="dxa"/>
      </w:tblCellMar>
    </w:tblPr>
  </w:style>
  <w:style w:type="paragraph" w:styleId="1346" w:customStyle="1">
    <w:name w:val="样式4"/>
    <w:basedOn w:val="782"/>
    <w:uiPriority w:val="0"/>
    <w:qFormat/>
    <w:rPr>
      <w:sz w:val="24"/>
      <w:szCs w:val="24"/>
    </w:rPr>
  </w:style>
  <w:style w:type="paragraph" w:styleId="1347" w:customStyle="1">
    <w:name w:val="Char Char Char Char Char Char Char1 Char"/>
    <w:uiPriority w:val="0"/>
    <w:qFormat/>
    <w:pPr>
      <w:jc w:val="both"/>
      <w:widowControl w:val="off"/>
    </w:pPr>
    <w:rPr>
      <w:rFonts w:ascii="Tahoma" w:hAnsi="Tahoma" w:eastAsia="宋体" w:cs="Times New Roman"/>
      <w:sz w:val="24"/>
      <w:lang w:val="en-US" w:eastAsia="zh-CN" w:bidi="ar-SA"/>
    </w:rPr>
  </w:style>
  <w:style w:type="character" w:styleId="1348" w:customStyle="1">
    <w:name w:val="fontstyle01"/>
    <w:basedOn w:val="935"/>
    <w:uiPriority w:val="0"/>
    <w:qFormat/>
    <w:rPr>
      <w:rFonts w:ascii="PingFangSC-Regular-Identity-H" w:hAnsi="PingFangSC-Regular-Identity-H"/>
      <w:color w:val="000008"/>
      <w:sz w:val="24"/>
      <w:szCs w:val="24"/>
    </w:rPr>
  </w:style>
  <w:style w:type="character" w:styleId="1349" w:customStyle="1">
    <w:name w:val="fontstyle21"/>
    <w:basedOn w:val="935"/>
    <w:uiPriority w:val="0"/>
    <w:qFormat/>
    <w:rPr>
      <w:rFonts w:ascii="TimesNewRomanPSMT" w:hAnsi="TimesNewRomanPSMT"/>
      <w:color w:val="000008"/>
      <w:sz w:val="24"/>
      <w:szCs w:val="24"/>
    </w:rPr>
  </w:style>
  <w:style w:type="character" w:styleId="1350" w:customStyle="1">
    <w:name w:val="fontstyle11"/>
    <w:basedOn w:val="935"/>
    <w:uiPriority w:val="0"/>
    <w:qFormat/>
    <w:rPr>
      <w:rFonts w:ascii="TimesNewRomanPSMT" w:hAnsi="TimesNewRomanPSMT"/>
      <w:color w:val="000008"/>
      <w:sz w:val="24"/>
      <w:szCs w:val="24"/>
    </w:rPr>
  </w:style>
  <w:style w:type="paragraph" w:styleId="1351" w:customStyle="1">
    <w:name w:val="页脚11"/>
    <w:basedOn w:val="782"/>
    <w:uiPriority w:val="99"/>
    <w:qFormat/>
    <w:pPr>
      <w:jc w:val="left"/>
      <w:tabs>
        <w:tab w:val="center" w:pos="4153" w:leader="none"/>
        <w:tab w:val="right" w:pos="8306" w:leader="none"/>
      </w:tabs>
    </w:pPr>
    <w:rPr>
      <w:sz w:val="18"/>
      <w:lang w:eastAsia="en-US"/>
    </w:rPr>
  </w:style>
  <w:style w:type="character" w:styleId="1352" w:customStyle="1">
    <w:name w:val="页脚 字符"/>
    <w:uiPriority w:val="99"/>
    <w:qFormat/>
    <w:rPr>
      <w:rFonts w:eastAsia="楷体_GB2312"/>
      <w:sz w:val="18"/>
    </w:rPr>
  </w:style>
  <w:style w:type="character" w:styleId="1353" w:customStyle="1">
    <w:name w:val="页眉 字符"/>
    <w:uiPriority w:val="99"/>
    <w:qFormat/>
    <w:rPr>
      <w:rFonts w:eastAsia="楷体_GB2312"/>
      <w:sz w:val="18"/>
    </w:rPr>
  </w:style>
  <w:style w:type="paragraph" w:styleId="1354" w:customStyle="1">
    <w:name w:val="样式 首行缩进:  2 字符"/>
    <w:basedOn w:val="782"/>
    <w:uiPriority w:val="0"/>
    <w:qFormat/>
    <w:pPr>
      <w:ind w:firstLine="560"/>
      <w:spacing w:line="360" w:lineRule="auto"/>
    </w:pPr>
    <w:rPr>
      <w:rFonts w:eastAsia="仿宋_GB2312" w:cs="宋体"/>
      <w:sz w:val="24"/>
    </w:rPr>
  </w:style>
  <w:style w:type="paragraph" w:styleId="1355" w:customStyle="1">
    <w:name w:val="无间隔11"/>
    <w:uiPriority w:val="0"/>
    <w:qFormat/>
    <w:pPr>
      <w:spacing w:line="300" w:lineRule="auto"/>
      <w:widowControl w:val="off"/>
    </w:pPr>
    <w:rPr>
      <w:rFonts w:ascii="Times New Roman" w:hAnsi="Times New Roman" w:eastAsia="华文仿宋" w:cs="Times New Roman"/>
      <w:sz w:val="24"/>
      <w:szCs w:val="21"/>
      <w:lang w:val="en-US" w:eastAsia="zh-CN" w:bidi="ar-SA"/>
    </w:rPr>
  </w:style>
  <w:style w:type="paragraph" w:styleId="1356" w:customStyle="1">
    <w:name w:val="列出段落3"/>
    <w:basedOn w:val="782"/>
    <w:uiPriority w:val="0"/>
    <w:qFormat/>
    <w:pPr>
      <w:ind w:firstLine="420"/>
    </w:pPr>
    <w:rPr>
      <w:rFonts w:ascii="Calibri" w:hAnsi="Calibri" w:eastAsia="宋体"/>
      <w:szCs w:val="22"/>
    </w:rPr>
  </w:style>
  <w:style w:type="paragraph" w:styleId="1357" w:customStyle="1">
    <w:name w:val="_Style 62"/>
    <w:basedOn w:val="782"/>
    <w:next w:val="1059"/>
    <w:uiPriority w:val="34"/>
    <w:qFormat/>
    <w:pPr>
      <w:ind w:firstLine="420"/>
    </w:pPr>
    <w:rPr>
      <w:sz w:val="20"/>
    </w:rPr>
  </w:style>
  <w:style w:type="character" w:styleId="1358" w:customStyle="1">
    <w:name w:val="NormalCharacter1_0"/>
    <w:uiPriority w:val="0"/>
    <w:semiHidden/>
    <w:qFormat/>
  </w:style>
  <w:style w:type="paragraph" w:styleId="1359" w:customStyle="1">
    <w:name w:val="null3"/>
    <w:uiPriority w:val="0"/>
    <w:qFormat/>
    <w:rPr>
      <w:rFonts w:ascii="Calibri" w:hAnsi="Calibri" w:eastAsia="宋体" w:cs="Times New Roman"/>
      <w:lang w:val="en-US" w:eastAsia="zh-CN" w:bidi="ar-SA"/>
    </w:rPr>
  </w:style>
  <w:style w:type="paragraph" w:styleId="1360" w:customStyle="1">
    <w:name w:val="HtmlNormal1"/>
    <w:basedOn w:val="782"/>
    <w:uiPriority w:val="0"/>
    <w:qFormat/>
    <w:pPr>
      <w:jc w:val="left"/>
    </w:pPr>
    <w:rPr>
      <w:sz w:val="24"/>
    </w:rPr>
  </w:style>
  <w:style w:type="paragraph" w:styleId="1361" w:customStyle="1">
    <w:name w:val="修订1"/>
    <w:uiPriority w:val="99"/>
    <w:unhideWhenUsed/>
    <w:qFormat/>
    <w:rPr>
      <w:rFonts w:ascii="Times New Roman" w:hAnsi="Times New Roman" w:eastAsia="楷体_GB2312" w:cs="Times New Roman"/>
      <w:sz w:val="26"/>
      <w:lang w:val="en-US" w:eastAsia="zh-CN" w:bidi="ar-SA"/>
    </w:rPr>
  </w:style>
  <w:style w:type="character" w:styleId="1362" w:customStyle="1">
    <w:name w:val="hover"/>
    <w:basedOn w:val="845"/>
    <w:uiPriority w:val="0"/>
    <w:qFormat/>
    <w:rPr>
      <w:color w:val="5fb878"/>
    </w:rPr>
  </w:style>
  <w:style w:type="character" w:styleId="1363" w:customStyle="1">
    <w:name w:val="hover1"/>
    <w:basedOn w:val="845"/>
    <w:uiPriority w:val="0"/>
    <w:qFormat/>
    <w:rPr>
      <w:color w:val="ffffff"/>
    </w:rPr>
  </w:style>
  <w:style w:type="character" w:styleId="1364" w:customStyle="1">
    <w:name w:val="hover2"/>
    <w:basedOn w:val="845"/>
    <w:uiPriority w:val="0"/>
    <w:qFormat/>
    <w:rPr>
      <w:color w:val="5fb878"/>
    </w:rPr>
  </w:style>
  <w:style w:type="character" w:styleId="1365" w:customStyle="1">
    <w:name w:val="first-child"/>
    <w:basedOn w:val="845"/>
    <w:uiPriority w:val="0"/>
    <w:qFormat/>
  </w:style>
  <w:style w:type="character" w:styleId="1366" w:customStyle="1">
    <w:name w:val="layui-this2"/>
    <w:basedOn w:val="845"/>
    <w:uiPriority w:val="0"/>
    <w:qFormat/>
    <w:rPr>
      <w:shd w:val="clear" w:color="auto" w:fill="ffffff"/>
    </w:rPr>
  </w:style>
  <w:style w:type="character" w:styleId="1367" w:customStyle="1">
    <w:name w:val="active16"/>
    <w:basedOn w:val="792"/>
    <w:uiPriority w:val="0"/>
    <w:qFormat/>
    <w:rPr>
      <w:color w:val="ffffff"/>
      <w:shd w:val="clear" w:color="auto" w:fill="0f5bb9"/>
    </w:rPr>
  </w:style>
  <w:style w:type="paragraph" w:styleId="1368" w:customStyle="1">
    <w:name w:val="msonormalcxspmiddle"/>
    <w:basedOn w:val="782"/>
    <w:uiPriority w:val="0"/>
    <w:qFormat/>
    <w:pPr>
      <w:jc w:val="left"/>
      <w:spacing w:before="100" w:beforeAutospacing="1" w:after="100" w:afterAutospacing="1"/>
      <w:widowControl/>
    </w:pPr>
    <w:rPr>
      <w:rFonts w:hint="eastAsia" w:ascii="宋体" w:hAnsi="宋体"/>
      <w:sz w:val="24"/>
    </w:rPr>
  </w:style>
  <w:style w:type="paragraph" w:styleId="1369"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370" w:customStyle="1">
    <w:name w:val="Table Text"/>
    <w:uiPriority w:val="0"/>
    <w:semiHidden/>
    <w:qFormat/>
    <w:rPr>
      <w:rFonts w:ascii="宋体" w:hAnsi="宋体" w:eastAsia="宋体" w:cs="宋体"/>
      <w:color w:val="000000"/>
      <w:sz w:val="25"/>
      <w:szCs w:val="25"/>
      <w:lang w:val="en-US" w:eastAsia="en-US" w:bidi="ar-SA"/>
    </w:rPr>
  </w:style>
  <w:style w:type="character" w:styleId="1371" w:customStyle="1">
    <w:name w:val="批注框文本 Char1"/>
    <w:basedOn w:val="792"/>
    <w:link w:val="805"/>
    <w:uiPriority w:val="99"/>
    <w:semiHidden/>
    <w:qFormat/>
    <w:rPr>
      <w:rFonts w:eastAsia="楷体_GB2312"/>
      <w:sz w:val="18"/>
      <w:szCs w:val="18"/>
    </w:rPr>
  </w:style>
  <w:style w:type="character" w:styleId="1372" w:customStyle="1">
    <w:name w:val="批注文字 Char1"/>
    <w:basedOn w:val="792"/>
    <w:link w:val="796"/>
    <w:uiPriority w:val="0"/>
    <w:qFormat/>
    <w:rPr>
      <w:rFonts w:eastAsia="楷体_GB2312"/>
      <w:sz w:val="26"/>
    </w:rPr>
  </w:style>
  <w:style w:type="character" w:styleId="1373" w:customStyle="1">
    <w:name w:val="批注主题 Char"/>
    <w:basedOn w:val="1372"/>
    <w:link w:val="818"/>
    <w:uiPriority w:val="0"/>
    <w:qFormat/>
  </w:style>
  <w:style w:type="numbering" w:styleId="1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wmf"/><Relationship Id="rId21" Type="http://schemas.openxmlformats.org/officeDocument/2006/relationships/image" Target="media/image2.emf"/><Relationship Id="rId22"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35bdfe3d-8dd9-49da-8406-d3d958084fe9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2B1E7C22</paraID>
      <start>0</start>
      <end>4</end>
      <status>unmodified</status>
      <modifiedWord/>
      <trackRevisions>false</trackRevisions>
    </reviewItem>
    <reviewItem>
      <errorID>8f8fc72b-3124-41a1-9882-279f0504c9cc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43FDA11A</paraID>
      <start>113</start>
      <end>114</end>
      <status>unmodified</status>
      <modifiedWord/>
      <trackRevisions>false</trackRevisions>
    </reviewItem>
    <reviewItem>
      <errorID>ee800acf-e785-4e10-945a-80002a5c2130</errorID>
      <errorWord>：/。</errorWord>
      <group>L1_Punc</group>
      <groupName>标点问题</groupName>
      <ability>L2_Punc_CN</ability>
      <abilityName>标点符号问题</abilityName>
      <candidateList>
        <item>：</item>
      </candidateList>
      <explain/>
      <paraID>398CCC30</paraID>
      <start>18</start>
      <end>21</end>
      <status>unmodified</status>
      <modifiedWord/>
      <trackRevisions>false</trackRevisions>
    </reviewItem>
    <reviewItem>
      <errorID>b889c24d-380d-4846-8f81-cff47915306b</errorID>
      <errorWord>后</errorWord>
      <group>L1_Word</group>
      <groupName>字词问题</groupName>
      <ability>L2_Typo</ability>
      <abilityName>字词错误</abilityName>
      <candidateList>
        <item>后在</item>
      </candidateList>
      <explain/>
      <paraID>201759BE</paraID>
      <start>13</start>
      <end>14</end>
      <status>unmodified</status>
      <modifiedWord/>
      <trackRevisions>false</trackRevisions>
    </reviewItem>
    <reviewItem>
      <errorID>f6176676-cb2a-4773-aba9-b131e0be200e</errorID>
      <errorWord>后</errorWord>
      <group>L1_Word</group>
      <groupName>字词问题</groupName>
      <ability>L2_Typo</ability>
      <abilityName>字词错误</abilityName>
      <candidateList>
        <item>后在</item>
      </candidateList>
      <explain/>
      <paraID>30E41A55</paraID>
      <start>15</start>
      <end>16</end>
      <status>unmodified</status>
      <modifiedWord/>
      <trackRevisions>false</trackRevisions>
    </reviewItem>
    <reviewItem>
      <errorID>ae9de5ba-ba48-413a-b326-6ac48620d812</errorID>
      <errorWord>-</errorWord>
      <group>L1_Format</group>
      <groupName>格式问题</groupName>
      <ability>L2_HalfPunc_CN</ability>
      <abilityName>全半角问题</abilityName>
      <candidateList>
        <item>－</item>
      </candidateList>
      <explain>文本全半角错误。</explain>
      <paraID>192F13E0</paraID>
      <start>11</start>
      <end>12</end>
      <status>unmodified</status>
      <modifiedWord/>
      <trackRevisions>false</trackRevisions>
    </reviewItem>
    <reviewItem>
      <errorID>f2d9e5a9-b7d2-47c4-8f38-5c42c46816c6</errorID>
      <errorWord>-</errorWord>
      <group>L1_Format</group>
      <groupName>格式问题</groupName>
      <ability>L2_HalfPunc_CN</ability>
      <abilityName>全半角问题</abilityName>
      <candidateList>
        <item>－</item>
      </candidateList>
      <explain>文本全半角错误。</explain>
      <paraID>192F13E0</paraID>
      <start>12</start>
      <end>13</end>
      <status>unmodified</status>
      <modifiedWord/>
      <trackRevisions>false</trackRevisions>
    </reviewItem>
    <reviewItem>
      <errorID>129bce55-d942-4537-9f21-3d63a6b50721</errorID>
      <errorWord>-</errorWord>
      <group>L1_Format</group>
      <groupName>格式问题</groupName>
      <ability>L2_HalfPunc_CN</ability>
      <abilityName>全半角问题</abilityName>
      <candidateList>
        <item>－</item>
      </candidateList>
      <explain>文本全半角错误。</explain>
      <paraID>192F13E0</paraID>
      <start>38</start>
      <end>39</end>
      <status>unmodified</status>
      <modifiedWord/>
      <trackRevisions>false</trackRevisions>
    </reviewItem>
    <reviewItem>
      <errorID>770aa9fd-cb59-4d9b-b917-b7e09aaa5c5c</errorID>
      <errorWord>-</errorWord>
      <group>L1_Format</group>
      <groupName>格式问题</groupName>
      <ability>L2_HalfPunc_CN</ability>
      <abilityName>全半角问题</abilityName>
      <candidateList>
        <item>－</item>
      </candidateList>
      <explain>文本全半角错误。</explain>
      <paraID>192F13E0</paraID>
      <start>39</start>
      <end>40</end>
      <status>unmodified</status>
      <modifiedWord/>
      <trackRevisions>false</trackRevisions>
    </reviewItem>
    <reviewItem>
      <errorID>53a8e804-8de8-427a-9907-6c04b9911b28</errorID>
      <errorWord>“.</errorWord>
      <group>L1_Punc</group>
      <groupName>标点问题</groupName>
      <ability>L2_Punc_CN</ability>
      <abilityName>标点符号问题</abilityName>
      <candidateList>
        <item>“</item>
      </candidateList>
      <explain/>
      <paraID>192F13E0</paraID>
      <start>51</start>
      <end>53</end>
      <status>unmodified</status>
      <modifiedWord/>
      <trackRevisions>false</trackRevisions>
    </reviewItem>
    <reviewItem>
      <errorID>1a532abf-ed79-4b6e-b064-3a8da018bf39</errorID>
      <errorWord>“.</errorWord>
      <group>L1_Punc</group>
      <groupName>标点问题</groupName>
      <ability>L2_Punc_CN</ability>
      <abilityName>标点符号问题</abilityName>
      <candidateList>
        <item>“</item>
      </candidateList>
      <explain/>
      <paraID>192F13E0</paraID>
      <start>66</start>
      <end>68</end>
      <status>unmodified</status>
      <modifiedWord/>
      <trackRevisions>false</trackRevisions>
    </reviewItem>
    <reviewItem>
      <errorID>b8ecb527-7fc5-45fd-83dc-89987561b467</errorID>
      <errorWord>-</errorWord>
      <group>L1_Format</group>
      <groupName>格式问题</groupName>
      <ability>L2_HalfPunc_CN</ability>
      <abilityName>全半角问题</abilityName>
      <candidateList>
        <item>－</item>
      </candidateList>
      <explain>文本全半角错误。</explain>
      <paraID>192F13E0</paraID>
      <start>89</start>
      <end>90</end>
      <status>unmodified</status>
      <modifiedWord/>
      <trackRevisions>false</trackRevisions>
    </reviewItem>
    <reviewItem>
      <errorID>be30da71-67f4-46c3-b32f-e05deaa55259</errorID>
      <errorWord>-</errorWord>
      <group>L1_Format</group>
      <groupName>格式问题</groupName>
      <ability>L2_HalfPunc_CN</ability>
      <abilityName>全半角问题</abilityName>
      <candidateList>
        <item>－</item>
      </candidateList>
      <explain>文本全半角错误。</explain>
      <paraID>192F13E0</paraID>
      <start>90</start>
      <end>91</end>
      <status>unmodified</status>
      <modifiedWord/>
      <trackRevisions>false</trackRevisions>
    </reviewItem>
    <reviewItem>
      <errorID>72f5a63f-14ee-43fc-b23e-0a8578c8a45c</errorID>
      <errorWord>-</errorWord>
      <group>L1_Format</group>
      <groupName>格式问题</groupName>
      <ability>L2_HalfPunc_CN</ability>
      <abilityName>全半角问题</abilityName>
      <candidateList>
        <item>－</item>
      </candidateList>
      <explain>文本全半角错误。</explain>
      <paraID>192F13E0</paraID>
      <start>97</start>
      <end>98</end>
      <status>unmodified</status>
      <modifiedWord/>
      <trackRevisions>false</trackRevisions>
    </reviewItem>
    <reviewItem>
      <errorID>83eaf985-516a-4a71-8451-a6ea876e2bb8</errorID>
      <errorWord>-</errorWord>
      <group>L1_Format</group>
      <groupName>格式问题</groupName>
      <ability>L2_HalfPunc_CN</ability>
      <abilityName>全半角问题</abilityName>
      <candidateList>
        <item>－</item>
      </candidateList>
      <explain>文本全半角错误。</explain>
      <paraID>192F13E0</paraID>
      <start>98</start>
      <end>99</end>
      <status>unmodified</status>
      <modifiedWord/>
      <trackRevisions>false</trackRevisions>
    </reviewItem>
    <reviewItem>
      <errorID>9855f4cc-66c1-4150-bbc7-d1dae1812140</errorID>
      <errorWord>“.</errorWord>
      <group>L1_Punc</group>
      <groupName>标点问题</groupName>
      <ability>L2_Punc_CN</ability>
      <abilityName>标点符号问题</abilityName>
      <candidateList>
        <item>“</item>
      </candidateList>
      <explain/>
      <paraID>650B88F1</paraID>
      <start>12</start>
      <end>14</end>
      <status>unmodified</status>
      <modifiedWord/>
      <trackRevisions>false</trackRevisions>
    </reviewItem>
    <reviewItem>
      <errorID>a6352535-b5b8-440c-9882-39872652e53d</errorID>
      <errorWord>-</errorWord>
      <group>L1_Format</group>
      <groupName>格式问题</groupName>
      <ability>L2_HalfPunc_CN</ability>
      <abilityName>全半角问题</abilityName>
      <candidateList>
        <item>－</item>
      </candidateList>
      <explain>文本全半角错误。</explain>
      <paraID>650B88F1</paraID>
      <start>48</start>
      <end>49</end>
      <status>unmodified</status>
      <modifiedWord/>
      <trackRevisions>false</trackRevisions>
    </reviewItem>
    <reviewItem>
      <errorID>1e851b31-279f-4f23-b8a1-5e083c1a5b64</errorID>
      <errorWord>-</errorWord>
      <group>L1_Format</group>
      <groupName>格式问题</groupName>
      <ability>L2_HalfPunc_CN</ability>
      <abilityName>全半角问题</abilityName>
      <candidateList>
        <item>－</item>
      </candidateList>
      <explain>文本全半角错误。</explain>
      <paraID>650B88F1</paraID>
      <start>49</start>
      <end>50</end>
      <status>unmodified</status>
      <modifiedWord/>
      <trackRevisions>false</trackRevisions>
    </reviewItem>
    <reviewItem>
      <errorID>fe716159-39d1-494c-b1f8-72464c66f923</errorID>
      <errorWord>-</errorWord>
      <group>L1_Format</group>
      <groupName>格式问题</groupName>
      <ability>L2_HalfPunc_CN</ability>
      <abilityName>全半角问题</abilityName>
      <candidateList>
        <item>－</item>
      </candidateList>
      <explain>文本全半角错误。</explain>
      <paraID>650B88F1</paraID>
      <start>55</start>
      <end>56</end>
      <status>unmodified</status>
      <modifiedWord/>
      <trackRevisions>false</trackRevisions>
    </reviewItem>
    <reviewItem>
      <errorID>da4c46d9-00b2-4f96-be4e-e837b2c62a78</errorID>
      <errorWord>-</errorWord>
      <group>L1_Format</group>
      <groupName>格式问题</groupName>
      <ability>L2_HalfPunc_CN</ability>
      <abilityName>全半角问题</abilityName>
      <candidateList>
        <item>－</item>
      </candidateList>
      <explain>文本全半角错误。</explain>
      <paraID>650B88F1</paraID>
      <start>56</start>
      <end>57</end>
      <status>unmodified</status>
      <modifiedWord/>
      <trackRevisions>false</trackRevisions>
    </reviewItem>
    <reviewItem>
      <errorID>2d41130a-1d2a-42d4-8967-0f7441a9a703</errorID>
      <errorWord>目</errorWord>
      <group>L1_Word</group>
      <groupName>字词问题</groupName>
      <ability>L2_Typo</ability>
      <abilityName>字词错误</abilityName>
      <candidateList>
        <item>目以</item>
      </candidateList>
      <explain/>
      <paraID>4E39086B</paraID>
      <start>5</start>
      <end>6</end>
      <status>unmodified</status>
      <modifiedWord/>
      <trackRevisions>false</trackRevisions>
    </reviewItem>
    <reviewItem>
      <errorID>52df327f-1528-410a-bf2c-fe8182157bc3</errorID>
      <errorWord>费</errorWord>
      <group>L1_Word</group>
      <groupName>字词问题</groupName>
      <ability>L2_Typo</ability>
      <abilityName>字词错误</abilityName>
      <candidateList>
        <item>费以</item>
      </candidateList>
      <explain/>
      <paraID>4E39086B</paraID>
      <start>10</start>
      <end>11</end>
      <status>unmodified</status>
      <modifiedWord/>
      <trackRevisions>false</trackRevisions>
    </reviewItem>
    <reviewItem>
      <errorID>e878ea3e-b956-4b92-b878-d9029989ee58</errorID>
      <errorWord>50-100万</errorWord>
      <group>L1_Knowledge</group>
      <groupName>知识性问题</groupName>
      <ability>L2_Knowledge</ability>
      <abilityName>其他知识</abilityName>
      <candidateList>
        <item>50万—100万</item>
      </candidateList>
      <explain>1. “50-100万”中的单位“万”仅出现在后一个数字上，容易引起歧义；根据《现代汉语标点符号数字用法规范手册》，数字表示范围两边需要使用统一的格式。2.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1A555377</paraID>
      <start>0</start>
      <end>7</end>
      <status>unmodified</status>
      <modifiedWord/>
      <trackRevisions>false</trackRevisions>
    </reviewItem>
    <reviewItem>
      <errorID>1b64abb9-91b5-4b94-b76a-61bc610dcbdb</errorID>
      <errorWord>100-200万</errorWord>
      <group>L1_Knowledge</group>
      <groupName>知识性问题</groupName>
      <ability>L2_Knowledge</ability>
      <abilityName>其他知识</abilityName>
      <candidateList>
        <item>100万—200万</item>
      </candidateList>
      <explain>1. “100-200万”中的单位“万”仅出现在后一个数字上，容易引起歧义；根据《现代汉语标点符号数字用法规范手册》，数字表示范围两边需要使用统一的格式。2.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6E57D4E4</paraID>
      <start>0</start>
      <end>8</end>
      <status>unmodified</status>
      <modifiedWord/>
      <trackRevisions>false</trackRevisions>
    </reviewItem>
    <reviewItem>
      <errorID>96d0d425-568f-4a19-b5d1-7196dfcded42</errorID>
      <errorWord>200-300万</errorWord>
      <group>L1_Knowledge</group>
      <groupName>知识性问题</groupName>
      <ability>L2_Knowledge</ability>
      <abilityName>其他知识</abilityName>
      <candidateList>
        <item>200万—300万</item>
      </candidateList>
      <explain>1. “200-300万”中的单位“万”仅出现在后一个数字上，容易引起歧义；根据《现代汉语标点符号数字用法规范手册》，数字表示范围两边需要使用统一的格式。2.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6B022741</paraID>
      <start>0</start>
      <end>8</end>
      <status>unmodified</status>
      <modifiedWord/>
      <trackRevisions>false</trackRevisions>
    </reviewItem>
    <reviewItem>
      <errorID>f16444b0-507c-4f90-ad8c-2f2377e7bbdd</errorID>
      <errorWord>300-400万</errorWord>
      <group>L1_Knowledge</group>
      <groupName>知识性问题</groupName>
      <ability>L2_Knowledge</ability>
      <abilityName>其他知识</abilityName>
      <candidateList>
        <item>300万—400万</item>
      </candidateList>
      <explain>1. “300-400万”中的单位“万”仅出现在后一个数字上，容易引起歧义；根据《现代汉语标点符号数字用法规范手册》，数字表示范围两边需要使用统一的格式。2.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125685C2</paraID>
      <start>0</start>
      <end>8</end>
      <status>unmodified</status>
      <modifiedWord/>
      <trackRevisions>false</trackRevisions>
    </reviewItem>
    <reviewItem>
      <errorID>7bfa54ad-6589-43a7-824c-1ceb3769bb0d</errorID>
      <errorWord>400-500万</errorWord>
      <group>L1_Knowledge</group>
      <groupName>知识性问题</groupName>
      <ability>L2_Knowledge</ability>
      <abilityName>其他知识</abilityName>
      <candidateList>
        <item>400万—500万</item>
      </candidateList>
      <explain>1. “400-500万”中的单位“万”仅出现在后一个数字上，容易引起歧义；根据《现代汉语标点符号数字用法规范手册》，数字表示范围两边需要使用统一的格式。2.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59F4B100</paraID>
      <start>0</start>
      <end>8</end>
      <status>unmodified</status>
      <modifiedWord/>
      <trackRevisions>false</trackRevisions>
    </reviewItem>
    <reviewItem>
      <errorID>4bf49b0e-37bf-4de1-b40d-e9fd1319f6a6</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31B1209C</paraID>
      <start>0</start>
      <end>9</end>
      <status>unmodified</status>
      <modifiedWord/>
      <trackRevisions>false</trackRevisions>
    </reviewItem>
    <reviewItem>
      <errorID>b9238ed0-1231-4fc4-a71e-45cd5bc66ec1</errorID>
      <errorWord>期</errorWord>
      <group>L1_Word</group>
      <groupName>字词问题</groupName>
      <ability>L2_Typo</ability>
      <abilityName>字词错误</abilityName>
      <candidateList>
        <item>期内</item>
      </candidateList>
      <explain/>
      <paraID>604ED5F8</paraID>
      <start>12</start>
      <end>13</end>
      <status>unmodified</status>
      <modifiedWord/>
      <trackRevisions>false</trackRevisions>
    </reviewItem>
    <reviewItem>
      <errorID>54f8e8aa-406a-46bb-88f1-2b40a8940125</errorID>
      <errorWord>“.</errorWord>
      <group>L1_Punc</group>
      <groupName>标点问题</groupName>
      <ability>L2_Punc_CN</ability>
      <abilityName>标点符号问题</abilityName>
      <candidateList>
        <item>“</item>
      </candidateList>
      <explain/>
      <paraID>604ED5F8</paraID>
      <start>187</start>
      <end>189</end>
      <status>unmodified</status>
      <modifiedWord/>
      <trackRevisions>false</trackRevisions>
    </reviewItem>
    <reviewItem>
      <errorID>4571e23c-a976-469f-8af0-ca72a71120b4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2454F80F</paraID>
      <start>77</start>
      <end>81</end>
      <status>unmodified</status>
      <modifiedWord/>
      <trackRevisions>false</trackRevisions>
    </reviewItem>
    <reviewItem>
      <errorID>85a15842-6176-4dc5-bd4c-fe3b353af827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3943FE3C</paraID>
      <start>60</start>
      <end>64</end>
      <status>unmodified</status>
      <modifiedWord/>
      <trackRevisions>false</trackRevisions>
    </reviewItem>
    <reviewItem>
      <errorID>21d88ae7-3294-4479-955b-32eeb3e9f14d</errorID>
      <errorWord>在现场勘察</errorWord>
      <group>L1_Word</group>
      <groupName>字词问题</groupName>
      <ability>L2_Typo</ability>
      <abilityName>字词错误</abilityName>
      <candidateList>
        <item>在现场勘查</item>
      </candidateList>
      <explain/>
      <paraID>4516461B</paraID>
      <start>13</start>
      <end>18</end>
      <status>unmodified</status>
      <modifiedWord/>
      <trackRevisions>false</trackRevisions>
    </reviewItem>
    <reviewItem>
      <errorID>4e5e902a-1f0b-4ced-afdd-5489b8e76672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2CD98395</paraID>
      <start>22</start>
      <end>25</end>
      <status>unmodified</status>
      <modifiedWord/>
      <trackRevisions>false</trackRevisions>
    </reviewItem>
    <reviewItem>
      <errorID>650e90b3-081b-48d9-b6c3-5a8f8bed3f6b</errorID>
      <errorWord>保持通讯畅通</errorWord>
      <group>L1_Word</group>
      <groupName>字词问题</groupName>
      <ability>L2_Typo</ability>
      <abilityName>字词错误</abilityName>
      <candidateList>
        <item>保持通信畅通</item>
      </candidateList>
      <explain/>
      <paraID>1166476E</paraID>
      <start>16</start>
      <end>22</end>
      <status>unmodified</status>
      <modifiedWord/>
      <trackRevisions>false</trackRevisions>
    </reviewItem>
    <reviewItem>
      <errorID>c254da50-cd41-41a7-b484-fa1a142daf35</errorID>
      <errorWord>国家发改委</errorWord>
      <group>L1_Knowledge</group>
      <groupName>知识性问题</groupName>
      <ability>L2_Knowledge</ability>
      <abilityName>其他知识</abilityName>
      <candidateList>
        <item>国家发展改革委</item>
      </candidateList>
      <explain/>
      <paraID>3E4AF483</paraID>
      <start>14</start>
      <end>19</end>
      <status>unmodified</status>
      <modifiedWord/>
      <trackRevisions>false</trackRevisions>
    </reviewItem>
    <reviewItem>
      <errorID>2baeb377-05b9-4b8e-8c7e-e5ee22653a84</errorID>
      <errorWord>属</errorWord>
      <group>L1_Word</group>
      <groupName>字词问题</groupName>
      <ability>L2_Typo</ability>
      <abilityName>字词错误</abilityName>
      <candidateList>
        <item>属于</item>
      </candidateList>
      <explain/>
      <paraID> 84AD900</paraID>
      <start>18</start>
      <end>19</end>
      <status>unmodified</status>
      <modifiedWord/>
      <trackRevisions>false</trackRevisions>
    </reviewItem>
    <reviewItem>
      <errorID>4e5a3a68-2a29-47f6-acf2-d014c8317630</errorID>
      <errorWord>未有</errorWord>
      <group>L1_Word</group>
      <groupName>字词问题</groupName>
      <ability>L2_Typo</ability>
      <abilityName>字词错误</abilityName>
      <candidateList>
        <item>未</item>
      </candidateList>
      <explain>〈副〉❶没（跟“已”相对）：尚～成年｜健康仍～恢复。❷不：～便｜～敢苟同｜～可厚非。</explain>
      <paraID> 3BE4E16</paraID>
      <start>43</start>
      <end>45</end>
      <status>unmodified</status>
      <modifiedWord/>
      <trackRevisions>false</trackRevisions>
    </reviewItem>
    <reviewItem>
      <errorID>f93bd87d-ef94-46f3-803d-c197624868c9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521ACD5E</paraID>
      <start>102</start>
      <end>103</end>
      <status>unmodified</status>
      <modifiedWord/>
      <trackRevisions>false</trackRevisions>
    </reviewItem>
    <reviewItem>
      <errorID>f406f8a7-874e-4fb2-8ab1-067a82ce677b</errorID>
      <errorWord>,</errorWord>
      <group>L1_Format</group>
      <groupName>格式问题</groupName>
      <ability>L2_HalfPunc_CN</ability>
      <abilityName>全半角问题</abilityName>
      <candidateList>
        <item>，</item>
      </candidateList>
      <explain>文本全半角错误。</explain>
      <paraID>408F6B90</paraID>
      <start>61</start>
      <end>62</end>
      <status>unmodified</status>
      <modifiedWord/>
      <trackRevisions>false</trackRevisions>
    </reviewItem>
    <reviewItem>
      <errorID>0a482209-7473-4b75-9e3e-73228e8fa18f</errorID>
      <errorWord>《政府采购法》</errorWord>
      <group>L1_Word</group>
      <groupName>字词问题</groupName>
      <ability>L2_Typo</ability>
      <abilityName>字词错误</abilityName>
      <candidateList>
        <item>《中华人民共和国政府采购法》</item>
      </candidateList>
      <explain/>
      <paraID>408F6B90</paraID>
      <start>63</start>
      <end>70</end>
      <status>unmodified</status>
      <modifiedWord/>
      <trackRevisions>false</trackRevisions>
    </reviewItem>
    <reviewItem>
      <errorID>b292fc82-71c8-4d72-b756-dcebca0ebc13</errorID>
      <errorWord>适当地</errorWord>
      <group>L1_Word</group>
      <groupName>字词问题</groupName>
      <ability>L2_Typo</ability>
      <abilityName>字词错误</abilityName>
      <candidateList>
        <item>适当</item>
      </candidateList>
      <explain/>
      <paraID> 97C7A2A</paraID>
      <start>40</start>
      <end>43</end>
      <status>unmodified</status>
      <modifiedWord/>
      <trackRevisions>false</trackRevisions>
    </reviewItem>
    <reviewItem>
      <errorID>67d2554d-f920-49ee-8063-166301410ae3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653B2220</paraID>
      <start>84</start>
      <end>85</end>
      <status>unmodified</status>
      <modifiedWord/>
      <trackRevisions>false</trackRevisions>
    </reviewItem>
    <reviewItem>
      <errorID>0c6e67eb-329a-4ed5-9518-ce0dc63ba0e3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2B7EAEFD</paraID>
      <start>0</start>
      <end>2</end>
      <status>unmodified</status>
      <modifiedWord/>
      <trackRevisions>false</trackRevisions>
    </reviewItem>
    <reviewItem>
      <errorID>6fbe68d7-5c20-4252-a4ea-6b0f35789129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1F556B53</paraID>
      <start>111</start>
      <end>112</end>
      <status>unmodified</status>
      <modifiedWord/>
      <trackRevisions>false</trackRevisions>
    </reviewItem>
    <reviewItem>
      <errorID>3ea2de50-b8b5-4150-a517-cdd71bec1fc0</errorID>
      <errorWord>。。</errorWord>
      <group>L1_Punc</group>
      <groupName>标点问题</groupName>
      <ability>L2_Punc_CN</ability>
      <abilityName>标点符号问题</abilityName>
      <candidateList>
        <item>。</item>
      </candidateList>
      <explain/>
      <paraID>1F556B53</paraID>
      <start>112</start>
      <end>114</end>
      <status>unmodified</status>
      <modifiedWord/>
      <trackRevisions>false</trackRevisions>
    </reviewItem>
    <reviewItem>
      <errorID>126e6a9c-519d-45f3-829e-25ff3e55b6dc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7D1E1DBD</paraID>
      <start>0</start>
      <end>2</end>
      <status>unmodified</status>
      <modifiedWord/>
      <trackRevisions>false</trackRevisions>
    </reviewItem>
    <reviewItem>
      <errorID>6b71f8ec-8597-4483-989e-5910c7fa7da3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3830AFDA</paraID>
      <start>0</start>
      <end>2</end>
      <status>unmodified</status>
      <modifiedWord/>
      <trackRevisions>false</trackRevisions>
    </reviewItem>
    <reviewItem>
      <errorID>a1c76c00-08a3-4d49-8bb6-173770d9bb05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3830AFDA</paraID>
      <start>474</start>
      <end>475</end>
      <status>unmodified</status>
      <modifiedWord/>
      <trackRevisions>false</trackRevisions>
    </reviewItem>
    <reviewItem>
      <errorID>828d15c1-2825-4e2c-b6ce-629b2a555c96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1F418DB6</paraID>
      <start>0</start>
      <end>2</end>
      <status>unmodified</status>
      <modifiedWord/>
      <trackRevisions>false</trackRevisions>
    </reviewItem>
    <reviewItem>
      <errorID>3e5421ee-73bd-484c-b22d-898091fd9051</errorID>
      <errorWord>如若</errorWord>
      <group>L1_Word</group>
      <groupName>字词问题</groupName>
      <ability>L2_Typo</ability>
      <abilityName>字词错误</abilityName>
      <candidateList>
        <item>若</item>
      </candidateList>
      <explain/>
      <paraID>6B2E358C</paraID>
      <start>32</start>
      <end>34</end>
      <status>unmodified</status>
      <modifiedWord/>
      <trackRevisions>false</trackRevisions>
    </reviewItem>
    <reviewItem>
      <errorID>7902f9df-fac1-40cf-be07-9560744b2032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36DD9DCF</paraID>
      <start>0</start>
      <end>2</end>
      <status>unmodified</status>
      <modifiedWord/>
      <trackRevisions>false</trackRevisions>
    </reviewItem>
    <reviewItem>
      <errorID>0ef02292-8ee5-4840-bbd4-ff85fd32186a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6285BAB9</paraID>
      <start>0</start>
      <end>2</end>
      <status>unmodified</status>
      <modifiedWord/>
      <trackRevisions>false</trackRevisions>
    </reviewItem>
    <reviewItem>
      <errorID>a6aef193-33c8-4d00-97e1-f512ea6a6030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4843B878</paraID>
      <start>0</start>
      <end>2</end>
      <status>unmodified</status>
      <modifiedWord/>
      <trackRevisions>false</trackRevisions>
    </reviewItem>
    <reviewItem>
      <errorID>c2a26f49-a03f-4edd-99d1-774be3013fa8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56E14FA4</paraID>
      <start>64</start>
      <end>65</end>
      <status>unmodified</status>
      <modifiedWord/>
      <trackRevisions>false</trackRevisions>
    </reviewItem>
    <reviewItem>
      <errorID>7b1b84a7-9670-4600-afd9-6068e1fc2c7c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23E9F22B</paraID>
      <start>0</start>
      <end>2</end>
      <status>unmodified</status>
      <modifiedWord/>
      <trackRevisions>false</trackRevisions>
    </reviewItem>
    <reviewItem>
      <errorID>04a4593b-5816-493c-a445-9d9bad41834d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7BC53FBD</paraID>
      <start>0</start>
      <end>2</end>
      <status>unmodified</status>
      <modifiedWord/>
      <trackRevisions>false</trackRevisions>
    </reviewItem>
    <reviewItem>
      <errorID>69f223c6-779e-44ab-a614-92eac37b9804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57A483B9</paraID>
      <start>0</start>
      <end>2</end>
      <status>unmodified</status>
      <modifiedWord/>
      <trackRevisions>false</trackRevisions>
    </reviewItem>
    <reviewItem>
      <errorID>f2a34c2d-df8d-4139-af29-90286a8b0a1c</errorID>
      <errorWord>配置</errorWord>
      <group>L1_Word</group>
      <groupName>字词问题</groupName>
      <ability>L2_Typo</ability>
      <abilityName>字词错误</abilityName>
      <candidateList>
        <item>配制</item>
      </candidateList>
      <explain/>
      <paraID> 2BB6A28</paraID>
      <start>4</start>
      <end>6</end>
      <status>unmodified</status>
      <modifiedWord/>
      <trackRevisions>false</trackRevisions>
    </reviewItem>
    <reviewItem>
      <errorID>8956bfef-58e2-40d7-a05b-5bf6d4a66f40</errorID>
      <errorWord>配置</errorWord>
      <group>L1_Word</group>
      <groupName>字词问题</groupName>
      <ability>L2_Typo</ability>
      <abilityName>字词错误</abilityName>
      <candidateList>
        <item>配制</item>
      </candidateList>
      <explain/>
      <paraID> B5EC4E6</paraID>
      <start>121</start>
      <end>123</end>
      <status>unmodified</status>
      <modifiedWord/>
      <trackRevisions>false</trackRevisions>
    </reviewItem>
    <reviewItem>
      <errorID>98578640-9dac-4689-9b34-6786107b9330</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B5EC4E6</paraID>
      <start>166</start>
      <end>168</end>
      <status>unmodified</status>
      <modifiedWord/>
      <trackRevisions>false</trackRevisions>
    </reviewItem>
    <reviewItem>
      <errorID>06ad3373-9a2a-4691-8d87-16515e2cf902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3109B2F8</paraID>
      <start>0</start>
      <end>2</end>
      <status>unmodified</status>
      <modifiedWord/>
      <trackRevisions>false</trackRevisions>
    </reviewItem>
    <reviewItem>
      <errorID>19df38e9-7f69-43fa-8236-2f5b585bb981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2E5DD5D</paraID>
      <start>4</start>
      <end>7</end>
      <status>unmodified</status>
      <modifiedWord/>
      <trackRevisions>false</trackRevisions>
    </reviewItem>
    <reviewItem>
      <errorID>6979d286-0e24-4af9-89c7-4f6236ee669d</errorID>
      <errorWord>在现场勘察</errorWord>
      <group>L1_Word</group>
      <groupName>字词问题</groupName>
      <ability>L2_Typo</ability>
      <abilityName>字词错误</abilityName>
      <candidateList>
        <item>在现场勘查</item>
      </candidateList>
      <explain/>
      <paraID>2E5AC1B6</paraID>
      <start>5</start>
      <end>10</end>
      <status>unmodified</status>
      <modifiedWord/>
      <trackRevisions>false</trackRevisions>
    </reviewItem>
    <reviewItem>
      <errorID>19bdfb8e-eb88-486c-b5d9-a97d1b420ed8</errorID>
      <errorWord>&lt;</errorWord>
      <group>L1_Format</group>
      <groupName>格式问题</groupName>
      <ability>L2_HalfPunc_CN</ability>
      <abilityName>全半角问题</abilityName>
      <candidateList>
        <item>〈</item>
      </candidateList>
      <explain>文本全半角错误。</explain>
      <paraID>64224E37</paraID>
      <start>49</start>
      <end>50</end>
      <status>unmodified</status>
      <modifiedWord/>
      <trackRevisions>false</trackRevisions>
    </reviewItem>
    <reviewItem>
      <errorID>028b04aa-eef5-4f80-ae5a-f801511095ea</errorID>
      <errorWord>&lt;</errorWord>
      <group>L1_Format</group>
      <groupName>格式问题</groupName>
      <ability>L2_HalfPunc_CN</ability>
      <abilityName>全半角问题</abilityName>
      <candidateList>
        <item>〈</item>
      </candidateList>
      <explain>文本全半角错误。</explain>
      <paraID>21A5AA1D</paraID>
      <start>49</start>
      <end>50</end>
      <status>unmodified</status>
      <modifiedWord/>
      <trackRevisions>false</trackRevisions>
    </reviewItem>
    <reviewItem>
      <errorID>0fed76a7-1e82-49d7-af45-6bab9cc3681b</errorID>
      <errorWord>&lt;</errorWord>
      <group>L1_Format</group>
      <groupName>格式问题</groupName>
      <ability>L2_HalfPunc_CN</ability>
      <abilityName>全半角问题</abilityName>
      <candidateList>
        <item>〈</item>
      </candidateList>
      <explain>文本全半角错误。</explain>
      <paraID> 6489459</paraID>
      <start>34</start>
      <end>35</end>
      <status>unmodified</status>
      <modifiedWord/>
      <trackRevisions>false</trackRevisions>
    </reviewItem>
    <reviewItem>
      <errorID>94502530-dacb-4960-a30c-22963e870aa7</errorID>
      <errorWord>，</errorWord>
      <group>L1_Word</group>
      <groupName>字词问题</groupName>
      <ability>L2_Typo</ability>
      <abilityName>字词错误</abilityName>
      <candidateList>
        <item>，并</item>
      </candidateList>
      <explain/>
      <paraID>2594185C</paraID>
      <start>72</start>
      <end>73</end>
      <status>unmodified</status>
      <modifiedWord/>
      <trackRevisions>false</trackRevisions>
    </reviewItem>
    <reviewItem>
      <errorID>e20e606a-1f2e-435e-b03e-69faf7f39ca7</errorID>
      <errorWord>（</errorWord>
      <group>L1_Punc</group>
      <groupName>标点问题</groupName>
      <ability>L2_Punc_CN</ability>
      <abilityName>标点符号问题</abilityName>
      <candidateList/>
      <explain>同一形式括号套用。</explain>
      <paraID>578322D7</paraID>
      <start>0</start>
      <end>1</end>
      <status>unmodified</status>
      <modifiedWord/>
      <trackRevisions>false</trackRevisions>
    </reviewItem>
    <reviewItem>
      <errorID>f31435f7-1ae6-43b1-8532-694a38463acd</errorID>
      <errorWord>(</errorWord>
      <group>L1_Punc</group>
      <groupName>标点问题</groupName>
      <ability>L2_Punc_CN</ability>
      <abilityName>标点符号问题</abilityName>
      <candidateList/>
      <explain>同一形式括号套用。</explain>
      <paraID>578322D7</paraID>
      <start>23</start>
      <end>24</end>
      <status>unmodified</status>
      <modifiedWord/>
      <trackRevisions>false</trackRevisions>
    </reviewItem>
    <reviewItem>
      <errorID>79cda1b3-06c0-49e7-b09e-911c50a1fc26</errorID>
      <errorWord>)</errorWord>
      <group>L1_Punc</group>
      <groupName>标点问题</groupName>
      <ability>L2_Punc_CN</ability>
      <abilityName>标点符号问题</abilityName>
      <candidateList/>
      <explain>同一形式括号套用。</explain>
      <paraID>578322D7</paraID>
      <start>68</start>
      <end>69</end>
      <status>unmodified</status>
      <modifiedWord/>
      <trackRevisions>false</trackRevisions>
    </reviewItem>
    <reviewItem>
      <errorID>371dc8cf-238d-4117-b8be-1b8edf2cfd47</errorID>
      <errorWord>会</errorWord>
      <group>L1_Word</group>
      <groupName>字词问题</groupName>
      <ability>L2_Typo</ability>
      <abilityName>字词错误</abilityName>
      <candidateList>
        <item>会议</item>
      </candidateList>
      <explain/>
      <paraID>578322D7</paraID>
      <start>85</start>
      <end>86</end>
      <status>unmodified</status>
      <modifiedWord/>
      <trackRevisions>false</trackRevisions>
    </reviewItem>
    <reviewItem>
      <errorID>7d29131d-32b1-4b72-b516-5ac9961ecf77</errorID>
      <errorWord>(</errorWord>
      <group>L1_Punc</group>
      <groupName>标点问题</groupName>
      <ability>L2_Punc_CN</ability>
      <abilityName>标点符号问题</abilityName>
      <candidateList/>
      <explain>同一形式括号套用。</explain>
      <paraID>578322D7</paraID>
      <start>106</start>
      <end>107</end>
      <status>unmodified</status>
      <modifiedWord/>
      <trackRevisions>false</trackRevisions>
    </reviewItem>
    <reviewItem>
      <errorID>ea50cfe9-a38f-439b-aa9a-6cce5c8cc5c2</errorID>
      <errorWord>)</errorWord>
      <group>L1_Punc</group>
      <groupName>标点问题</groupName>
      <ability>L2_Punc_CN</ability>
      <abilityName>标点符号问题</abilityName>
      <candidateList/>
      <explain>同一形式括号套用。</explain>
      <paraID>578322D7</paraID>
      <start>121</start>
      <end>122</end>
      <status>unmodified</status>
      <modifiedWord/>
      <trackRevisions>false</trackRevisions>
    </reviewItem>
    <reviewItem>
      <errorID>597a95f3-5ce9-4c4a-9da2-297da7622433</errorID>
      <errorWord>）</errorWord>
      <group>L1_Punc</group>
      <groupName>标点问题</groupName>
      <ability>L2_Punc_CN</ability>
      <abilityName>标点符号问题</abilityName>
      <candidateList/>
      <explain>同一形式括号套用。</explain>
      <paraID>578322D7</paraID>
      <start>153</start>
      <end>154</end>
      <status>unmodified</status>
      <modifiedWord/>
      <trackRevisions>false</trackRevisions>
    </reviewItem>
    <reviewItem>
      <errorID>aced3bdb-1b4d-455b-be47-9c28aade0e47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1F01E019</paraID>
      <start>0</start>
      <end>2</end>
      <status>unmodified</status>
      <modifiedWord/>
      <trackRevisions>false</trackRevisions>
    </reviewItem>
    <reviewItem>
      <errorID>7e559c1c-a413-444b-a0d6-e356325e4163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1C86E040</paraID>
      <start>0</start>
      <end>2</end>
      <status>unmodified</status>
      <modifiedWord/>
      <trackRevisions>false</trackRevisions>
    </reviewItem>
    <reviewItem>
      <errorID>e55d7483-2bad-4220-8d6d-334928e9b297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66F6C95C</paraID>
      <start>0</start>
      <end>2</end>
      <status>unmodified</status>
      <modifiedWord/>
      <trackRevisions>false</trackRevisions>
    </reviewItem>
    <reviewItem>
      <errorID>4fae197f-2477-43bf-ac63-688aa121ee13</errorID>
      <errorWord>-</errorWord>
      <group>L1_Format</group>
      <groupName>格式问题</groupName>
      <ability>L2_HalfPunc_CN</ability>
      <abilityName>全半角问题</abilityName>
      <candidateList>
        <item>－</item>
      </candidateList>
      <explain>文本全半角错误。</explain>
      <paraID>55DCCFAF</paraID>
      <start>8</start>
      <end>9</end>
      <status>unmodified</status>
      <modifiedWord/>
      <trackRevisions>false</trackRevisions>
    </reviewItem>
    <reviewItem>
      <errorID>0307ec59-4cab-4df9-bfff-da4b773184dc</errorID>
      <errorWord>)</errorWord>
      <group>L1_Format</group>
      <groupName>格式问题</groupName>
      <ability>L2_HalfPunc_CN</ability>
      <abilityName>全半角问题</abilityName>
      <candidateList>
        <item>）</item>
      </candidateList>
      <explain>文本全半角错误。</explain>
      <paraID>55DCCFAF</paraID>
      <start>11</start>
      <end>12</end>
      <status>unmodified</status>
      <modifiedWord/>
      <trackRevisions>false</trackRevisions>
    </reviewItem>
    <reviewItem>
      <errorID>280652fd-d735-4056-8393-8be83c42c3f2</errorID>
      <errorWord>-</errorWord>
      <group>L1_Format</group>
      <groupName>格式问题</groupName>
      <ability>L2_HalfPunc_CN</ability>
      <abilityName>全半角问题</abilityName>
      <candidateList>
        <item>－</item>
      </candidateList>
      <explain>文本全半角错误。</explain>
      <paraID>55DCCFAF</paraID>
      <start>87</start>
      <end>88</end>
      <status>unmodified</status>
      <modifiedWord/>
      <trackRevisions>false</trackRevisions>
    </reviewItem>
    <reviewItem>
      <errorID>2f09b7d2-86de-4a3c-8079-b45506bc724c</errorID>
      <errorWord>符</errorWord>
      <group>L1_Word</group>
      <groupName>字词问题</groupName>
      <ability>L2_Typo</ability>
      <abilityName>字词错误</abilityName>
      <candidateList>
        <item>符合</item>
      </candidateList>
      <explain>〈动〉（数量、形状、情节等）相合：～事实｜这些产品不～质量标准。</explain>
      <paraID>2DAFB1CD</paraID>
      <start>74</start>
      <end>75</end>
      <status>unmodified</status>
      <modifiedWord/>
      <trackRevisions>false</trackRevisions>
    </reviewItem>
    <reviewItem>
      <errorID>c285a0fc-dff0-41d2-bc96-839528a90e15</errorID>
      <errorWord>符</errorWord>
      <group>L1_Word</group>
      <groupName>字词问题</groupName>
      <ability>L2_Typo</ability>
      <abilityName>字词错误</abilityName>
      <candidateList>
        <item>符合</item>
      </candidateList>
      <explain>〈动〉（数量、形状、情节等）相合：～事实｜这些产品不～质量标准。</explain>
      <paraID>491D51B7</paraID>
      <start>74</start>
      <end>75</end>
      <status>unmodified</status>
      <modifiedWord/>
      <trackRevisions>false</trackRevisions>
    </reviewItem>
    <reviewItem>
      <errorID>c2223f50-1ee5-419e-911c-b0981db1c751</errorID>
      <errorWord>符</errorWord>
      <group>L1_Word</group>
      <groupName>字词问题</groupName>
      <ability>L2_Typo</ability>
      <abilityName>字词错误</abilityName>
      <candidateList>
        <item>符合</item>
      </candidateList>
      <explain>〈动〉（数量、形状、情节等）相合：～事实｜这些产品不～质量标准。</explain>
      <paraID>28067832</paraID>
      <start>74</start>
      <end>75</end>
      <status>unmodified</status>
      <modifiedWord/>
      <trackRevisions>false</trackRevisions>
    </reviewItem>
    <reviewItem>
      <errorID>6e90ca9c-e0cf-495f-be80-9746c5fe9b1f</errorID>
      <errorWord>符</errorWord>
      <group>L1_Word</group>
      <groupName>字词问题</groupName>
      <ability>L2_Typo</ability>
      <abilityName>字词错误</abilityName>
      <candidateList>
        <item>符合</item>
      </candidateList>
      <explain>〈动〉（数量、形状、情节等）相合：～事实｜这些产品不～质量标准。</explain>
      <paraID>259ED388</paraID>
      <start>70</start>
      <end>71</end>
      <status>unmodified</status>
      <modifiedWord/>
      <trackRevisions>false</trackRevisions>
    </reviewItem>
    <reviewItem>
      <errorID>1247c252-2ce9-4620-89d6-50ca585b0522</errorID>
      <errorWord>符</errorWord>
      <group>L1_Word</group>
      <groupName>字词问题</groupName>
      <ability>L2_Typo</ability>
      <abilityName>字词错误</abilityName>
      <candidateList>
        <item>符合</item>
      </candidateList>
      <explain>〈动〉（数量、形状、情节等）相合：～事实｜这些产品不～质量标准。</explain>
      <paraID>7078D9C8</paraID>
      <start>70</start>
      <end>71</end>
      <status>unmodified</status>
      <modifiedWord/>
      <trackRevisions>false</trackRevisions>
    </reviewItem>
    <reviewItem>
      <errorID>3c47dbe1-3b6d-4776-af4b-6a1b5008c21e</errorID>
      <errorWord>符</errorWord>
      <group>L1_Word</group>
      <groupName>字词问题</groupName>
      <ability>L2_Typo</ability>
      <abilityName>字词错误</abilityName>
      <candidateList>
        <item>符合</item>
      </candidateList>
      <explain>〈动〉（数量、形状、情节等）相合：～事实｜这些产品不～质量标准。</explain>
      <paraID>75101032</paraID>
      <start>70</start>
      <end>71</end>
      <status>unmodified</status>
      <modifiedWord/>
      <trackRevisions>false</trackRevisions>
    </reviewItem>
    <reviewItem>
      <errorID>892466d7-8bb5-4b95-b15e-2e6bf05fdb0b</errorID>
      <errorWord>符</errorWord>
      <group>L1_Word</group>
      <groupName>字词问题</groupName>
      <ability>L2_Typo</ability>
      <abilityName>字词错误</abilityName>
      <candidateList>
        <item>符合</item>
      </candidateList>
      <explain>〈动〉（数量、形状、情节等）相合：～事实｜这些产品不～质量标准。</explain>
      <paraID>3D5CB6D9</paraID>
      <start>70</start>
      <end>71</end>
      <status>unmodified</status>
      <modifiedWord/>
      <trackRevisions>false</trackRevisions>
    </reviewItem>
    <reviewItem>
      <errorID>7c0cdd1a-cf85-4b35-afb7-70bec9775034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666B68CE</paraID>
      <start>0</start>
      <end>2</end>
      <status>unmodified</status>
      <modifiedWord/>
      <trackRevisions>false</trackRevisions>
    </reviewItem>
    <reviewItem>
      <errorID>108f94ca-f4fb-459f-968d-10be7df22fe4</errorID>
      <errorWord>[2011]300号</errorWord>
      <group>L1_Knowledge</group>
      <groupName>知识性问题</groupName>
      <ability>L2_Knowledge</ability>
      <abilityName>其他知识</abilityName>
      <candidateList>
        <item>〔2011〕300号</item>
      </candidateList>
      <explain>发文字号格式错误。</explain>
      <paraID>4206E2A5</paraID>
      <start>36</start>
      <end>46</end>
      <status>unmodified</status>
      <modifiedWord/>
      <trackRevisions>false</trackRevisions>
    </reviewItem>
    <reviewItem>
      <errorID>1ceb0164-2fb4-4c38-8328-fcf5f358e91c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96132F1</paraID>
      <start>0</start>
      <end>2</end>
      <status>unmodified</status>
      <modifiedWord/>
      <trackRevisions>false</trackRevisions>
    </reviewItem>
    <reviewItem>
      <errorID>347efc25-7d15-411f-b687-019024940c88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76252177</paraID>
      <start>0</start>
      <end>2</end>
      <status>unmodified</status>
      <modifiedWord/>
      <trackRevisions>false</trackRevisions>
    </reviewItem>
    <reviewItem>
      <errorID>1f42e356-1546-4f25-af62-54f007cc4149</errorID>
      <errorWord>(</errorWord>
      <group>L1_Format</group>
      <groupName>格式问题</groupName>
      <ability>L2_HalfPunc_CN</ability>
      <abilityName>全半角问题</abilityName>
      <candidateList>
        <item>（</item>
      </candidateList>
      <explain>文本全半角错误。</explain>
      <paraID>54043D20</paraID>
      <start>36</start>
      <end>37</end>
      <status>unmodified</status>
      <modifiedWord/>
      <trackRevisions>false</trackRevisions>
    </reviewItem>
    <reviewItem>
      <errorID>77a61bcd-8ef5-4ab8-a885-32e0e31359a7</errorID>
      <errorWord>)</errorWord>
      <group>L1_Format</group>
      <groupName>格式问题</groupName>
      <ability>L2_HalfPunc_CN</ability>
      <abilityName>全半角问题</abilityName>
      <candidateList>
        <item>）</item>
      </candidateList>
      <explain>文本全半角错误。</explain>
      <paraID>54043D20</paraID>
      <start>46</start>
      <end>47</end>
      <status>unmodified</status>
      <modifiedWord/>
      <trackRevisions>false</trackRevisions>
    </reviewItem>
    <reviewItem>
      <errorID>86bc0bab-857c-4e63-a58c-ff3ee70c619d</errorID>
      <errorWord>[2014]68号</errorWord>
      <group>L1_Knowledge</group>
      <groupName>知识性问题</groupName>
      <ability>L2_Knowledge</ability>
      <abilityName>其他知识</abilityName>
      <candidateList>
        <item>〔2014〕68号</item>
      </candidateList>
      <explain>发文字号格式错误。</explain>
      <paraID>22987341</paraID>
      <start>38</start>
      <end>47</end>
      <status>unmodified</status>
      <modifiedWord/>
      <trackRevisions>false</trackRevisions>
    </reviewItem>
    <reviewItem>
      <errorID>14c5cca6-0c6f-41b0-88af-d21ca48c112a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7F52BD43</paraID>
      <start>0</start>
      <end>2</end>
      <status>unmodified</status>
      <modifiedWord/>
      <trackRevisions>false</trackRevisions>
    </reviewItem>
    <reviewItem>
      <errorID>1738d08f-14e4-40df-b8b3-7bce8864aab5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4391622F</paraID>
      <start>0</start>
      <end>2</end>
      <status>unmodified</status>
      <modifiedWord/>
      <trackRevisions>false</trackRevisions>
    </reviewItem>
    <reviewItem>
      <errorID>7a46adbc-3b8b-45bf-8ed7-d37c2ea50d53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23941AB0</paraID>
      <start>0</start>
      <end>2</end>
      <status>unmodified</status>
      <modifiedWord/>
      <trackRevisions>false</trackRevisions>
    </reviewItem>
    <reviewItem>
      <errorID>76361fad-1719-46f4-964d-db1cc1041cd7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4A27DD7F</paraID>
      <start>0</start>
      <end>2</end>
      <status>unmodified</status>
      <modifiedWord/>
      <trackRevisions>false</trackRevisions>
    </reviewItem>
    <reviewItem>
      <errorID>4b718cfb-7135-47c8-9f38-00f014f3ca49</errorID>
      <errorWord>等</errorWord>
      <group>L1_Word</group>
      <groupName>字词问题</groupName>
      <ability>L2_Typo</ability>
      <abilityName>字词错误</abilityName>
      <candidateList>
        <item>的</item>
      </candidateList>
      <explain>“的”常用于连接修饰语与名词性中心语，表示属性、所属或描述。</explain>
      <paraID>789DC647</paraID>
      <start>15</start>
      <end>16</end>
      <status>unmodified</status>
      <modifiedWord/>
      <trackRevisions>false</trackRevisions>
    </reviewItem>
    <reviewItem>
      <errorID>43cda534-57ea-49de-b095-723f3807a215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60A21DF4</paraID>
      <start>112</start>
      <end>113</end>
      <status>unmodified</status>
      <modifiedWord/>
      <trackRevisions>false</trackRevisions>
    </reviewItem>
    <reviewItem>
      <errorID>10443749-2d9f-439c-a1f1-bf919b6c9523</errorID>
      <errorWord>未有</errorWord>
      <group>L1_Word</group>
      <groupName>字词问题</groupName>
      <ability>L2_Typo</ability>
      <abilityName>字词错误</abilityName>
      <candidateList>
        <item>未</item>
      </candidateList>
      <explain>〈副〉❶没（跟“已”相对）：尚～成年｜健康仍～恢复。❷不：～便｜～敢苟同｜～可厚非。</explain>
      <paraID>4DFF17F1</paraID>
      <start>42</start>
      <end>44</end>
      <status>unmodified</status>
      <modifiedWord/>
      <trackRevisions>false</trackRevisions>
    </reviewItem>
    <reviewItem>
      <errorID>599346af-26ce-49a0-b97a-95b5223e6a5d</errorID>
      <errorWord>法律、法规</errorWord>
      <group>L1_Word</group>
      <groupName>字词问题</groupName>
      <ability>L2_Typo</ability>
      <abilityName>字词错误</abilityName>
      <candidateList>
        <item>法律法规</item>
      </candidateList>
      <explain/>
      <paraID>16E26E64</paraID>
      <start>46</start>
      <end>51</end>
      <status>unmodified</status>
      <modifiedWord/>
      <trackRevisions>false</trackRevisions>
    </reviewItem>
    <reviewItem>
      <errorID>a540279f-9b95-4959-86c0-05de6ff4e504</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2D3829D8</paraID>
      <start>48</start>
      <end>49</end>
      <status>unmodified</status>
      <modifiedWord/>
      <trackRevisions>false</trackRevisions>
    </reviewItem>
    <reviewItem>
      <errorID>99f1ae2c-17e9-46f4-bb56-c5fe98fa3ff9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3A9C0688</paraID>
      <start>18</start>
      <end>21</end>
      <status>unmodified</status>
      <modifiedWord/>
      <trackRevisions>false</trackRevisions>
    </reviewItem>
    <reviewItem>
      <errorID>7763a86f-27f2-4d55-96f9-37e45dee9380</errorID>
      <errorWord>土壤污染防治法</errorWord>
      <group>L1_Knowledge</group>
      <groupName>知识性问题</groupName>
      <ability>L2_Knowledge</ability>
      <abilityName>其他知识</abilityName>
      <candidateList>
        <item>中华人民共和国土壤污染防治法</item>
      </candidateList>
      <explain>当前法律法规名称使用简称，请注意是否应当使用全称。</explain>
      <paraID>20CF91C0</paraID>
      <start>47</start>
      <end>54</end>
      <status>unmodified</status>
      <modifiedWord/>
      <trackRevisions>false</trackRevisions>
    </reviewItem>
    <reviewItem>
      <errorID>37b2c6b6-ea8a-4acd-89dd-a48ca691ca59</errorID>
      <errorWord>使用</errorWord>
      <group>L1_Grammar</group>
      <groupName>语法问题</groupName>
      <ability>L2_Grammar</ability>
      <abilityName>语法错误</abilityName>
      <candidateList>
        <item>采取</item>
      </candidateList>
      <explain>“使用～措施”搭配不当，建议修改为“采取～措施”。</explain>
      <paraID>4D297F47</paraID>
      <start>39</start>
      <end>41</end>
      <status>unmodified</status>
      <modifiedWord/>
      <trackRevisions>false</trackRevisions>
    </reviewItem>
    <reviewItem>
      <errorID>1fea2338-0245-4afa-986a-888cf523061c</errorID>
      <errorWord>*</errorWord>
      <group>L1_Punc</group>
      <groupName>标点问题</groupName>
      <ability>L2_Punc_CN</ability>
      <abilityName>标点符号问题</abilityName>
      <candidateList/>
      <explain/>
      <paraID>4052F0D6</paraID>
      <start>0</start>
      <end>1</end>
      <status>unmodified</status>
      <modifiedWord/>
      <trackRevisions>false</trackRevisions>
    </reviewItem>
    <reviewItem>
      <errorID>8f9bbdd9-444d-4706-865f-1fe9b36a6825</errorID>
      <errorWord>未有</errorWord>
      <group>L1_Word</group>
      <groupName>字词问题</groupName>
      <ability>L2_Typo</ability>
      <abilityName>字词错误</abilityName>
      <candidateList>
        <item>未</item>
      </candidateList>
      <explain>〈副〉❶没（跟“已”相对）：尚～成年｜健康仍～恢复。❷不：～便｜～敢苟同｜～可厚非。</explain>
      <paraID>36451FA1</paraID>
      <start>43</start>
      <end>45</end>
      <status>unmodified</status>
      <modifiedWord/>
      <trackRevisions>false</trackRevisions>
    </reviewItem>
    <reviewItem>
      <errorID>93f04b76-cd40-4a38-b81f-36b44ae0c13c</errorID>
      <errorWord>：/</errorWord>
      <group>L1_Punc</group>
      <groupName>标点问题</groupName>
      <ability>L2_Punc_CN</ability>
      <abilityName>标点符号问题</abilityName>
      <candidateList>
        <item>：</item>
      </candidateList>
      <explain/>
      <paraID>453A5CAD</paraID>
      <start>17</start>
      <end>19</end>
      <status>unmodified</status>
      <modifiedWord/>
      <trackRevisions>false</trackRevisions>
    </reviewItem>
    <reviewItem>
      <errorID>f96f21f0-d519-461f-97ee-c01c1e9f69fb</errorID>
      <errorWord>:/</errorWord>
      <group>L1_Punc</group>
      <groupName>标点问题</groupName>
      <ability>L2_Punc_CN</ability>
      <abilityName>标点符号问题</abilityName>
      <candidateList>
        <item>:</item>
      </candidateList>
      <explain/>
      <paraID>25AAA5C0</paraID>
      <start>16</start>
      <end>18</end>
      <status>unmodified</status>
      <modifiedWord/>
      <trackRevisions>false</trackRevisions>
    </reviewItem>
    <reviewItem>
      <errorID>79dc07c1-a05c-4c8f-9c42-60b4fb86e452</errorID>
      <errorWord>须</errorWord>
      <group>L1_Word</group>
      <groupName>字词问题</groupName>
      <ability>L2_Typo</ability>
      <abilityName>字词错误</abilityName>
      <candidateList>
        <item>需</item>
      </candidateList>
      <explain>存在发音相同字词的误用。</explain>
      <paraID>32FA6AAB</paraID>
      <start>12</start>
      <end>13</end>
      <status>unmodified</status>
      <modifiedWord/>
      <trackRevisions>false</trackRevisions>
    </reviewItem>
    <reviewItem>
      <errorID>341b4124-f6e6-41e1-8dc4-3739ba12dccd</errorID>
      <errorWord>项目的</errorWord>
      <group>L1_Word</group>
      <groupName>字词问题</groupName>
      <ability>L2_Typo</ability>
      <abilityName>字词错误</abilityName>
      <candidateList>
        <item>项目</item>
      </candidateList>
      <explain>〈名〉事物分成的门类：服务～｜体育～｜建设～。</explain>
      <paraID>398C64B6</paraID>
      <start>25</start>
      <end>28</end>
      <status>unmodified</status>
      <modifiedWord/>
      <trackRevisions>false</trackRevisions>
    </reviewItem>
    <reviewItem>
      <errorID>0b48bd10-1131-4756-a1da-c08df42f8f62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2679322C</paraID>
      <start>27</start>
      <end>31</end>
      <status>unmodified</status>
      <modifiedWord/>
      <trackRevisions>false</trackRevisions>
    </reviewItem>
    <reviewItem>
      <errorID>7035b00f-1b7d-401c-bf2e-7647c3c2ceca</errorID>
      <errorWord>......</errorWord>
      <group>L1_Punc</group>
      <groupName>标点问题</groupName>
      <ability>L2_Punc_CN</ability>
      <abilityName>标点符号问题</abilityName>
      <candidateList>
        <item>……</item>
      </candidateList>
      <explain/>
      <paraID>1626420C</paraID>
      <start>0</start>
      <end>6</end>
      <status>unmodified</status>
      <modifiedWord/>
      <trackRevisions>false</trackRevisions>
    </reviewItem>
    <reviewItem>
      <errorID>7568ea2d-b32d-4424-87dc-6d57c9f5b5f7</errorID>
      <errorWord>：]</errorWord>
      <group>L1_Punc</group>
      <groupName>标点问题</groupName>
      <ability>L2_Punc_CN</ability>
      <abilityName>标点符号问题</abilityName>
      <candidateList>
        <item>]</item>
      </candidateList>
      <explain/>
      <paraID>4FC74264</paraID>
      <start>56</start>
      <end>58</end>
      <status>unmodified</status>
      <modifiedWord/>
      <trackRevisions>false</trackRevisions>
    </reviewItem>
  </reviewItems>
  <config/>
</contractReview>
</file>

<file path=customXml/itemProps1.xml><?xml version="1.0" encoding="utf-8"?>
<ds:datastoreItem xmlns:ds="http://schemas.openxmlformats.org/officeDocument/2006/customXml" ds:itemID="{A44CCC32-7295-4D97-8511-C9C1F4DDD7EF}"/>
</file>

<file path=customXml/itemProps2.xml><?xml version="1.0" encoding="utf-8"?>
<ds:datastoreItem xmlns:ds="http://schemas.openxmlformats.org/officeDocument/2006/customXml" ds:itemID="{3B3D73ED-0E00-4D20-91B9-A169579669FA}"/>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秋家</dc:creator>
  <cp:lastModifiedBy>徐军</cp:lastModifiedBy>
  <cp:revision>104</cp:revision>
  <dcterms:created xsi:type="dcterms:W3CDTF">2025-07-30T04:16:00Z</dcterms:created>
  <dcterms:modified xsi:type="dcterms:W3CDTF">2026-07-06T07:41:11Z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eyJoZGlkIjoiZmQyMzgzMjg3MzcxNDJjZGFjNDRhZjJhNTliYWM4MjIiLCJ1c2VySWQiOiI3NDc1Nzc1MjMifQ==</vt:lpwstr>
  </property>
  <property fmtid="{D5CDD505-2E9C-101B-9397-08002B2CF9AE}" pid="3" name="KSOProductBuildVer">
    <vt:lpwstr>2052-12.1.0.26895</vt:lpwstr>
  </property>
  <property fmtid="{D5CDD505-2E9C-101B-9397-08002B2CF9AE}" pid="4" name="ICV">
    <vt:lpwstr>563AE91FFF1F41499503FF23B05F0E0F_13</vt:lpwstr>
  </property>
</Properties>
</file>